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El desarrollo del plan de trabajo ha cumplido estrictamente con los plazos estimados en Jira Software. A la fecha, se han completado las Épicas 1.0, 2.0 y 3.0 al 100%, manteniendo en curso la Épica 4.0 correspondiente al panel analítico docente. Esta continuidad temporal garantiza la correcta finalización del proyecto dentro de las 17 semanas académicas asignadas.</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color w:val="767171"/>
                <w:sz w:val="24"/>
                <w:szCs w:val="24"/>
              </w:rPr>
            </w:pPr>
            <w:r w:rsidDel="00000000" w:rsidR="00000000" w:rsidRPr="00000000">
              <w:rPr>
                <w:color w:val="767171"/>
                <w:sz w:val="24"/>
                <w:szCs w:val="24"/>
                <w:rtl w:val="0"/>
              </w:rPr>
              <w:t xml:space="preserve">El principal factor facilitador ha sido la adecuada organización horaria del equipo mediante sesiones semanales de trabajo autónomo, sumado a la disposición del Instituto Psicopedagógico de Educación Infantil (IPEI) para la toma de requerimientos. Por otro lado, la restricción de horarios en terreno actuó como factor dificultador, el cual se mitigó exitosamente mediante validaciones asíncronas con material audiovisual y APKs de prueba.  </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spacing w:after="240" w:line="276" w:lineRule="auto"/>
              <w:jc w:val="both"/>
              <w:rPr>
                <w:color w:val="767171"/>
              </w:rPr>
            </w:pPr>
            <w:r w:rsidDel="00000000" w:rsidR="00000000" w:rsidRPr="00000000">
              <w:rPr>
                <w:color w:val="767171"/>
                <w:rtl w:val="0"/>
              </w:rPr>
              <w:t xml:space="preserve">Para enfrentar la disponibilidad limitada de horarios en el Instituto Psicopedagógico (IPEI) para pruebas presenciales, se implementó un flujo de validación asíncrona mediante demostraciones en video y la entrega de paquetes beta ejecutable (APK) para la revisión docente. Esta estrategia permitió obtener retroalimentación continua sobre la navegación por voz y la usabilidad de la interfaz sin interrumpir la planificación del centro educativo.</w:t>
            </w:r>
          </w:p>
          <w:p w:rsidR="00000000" w:rsidDel="00000000" w:rsidP="00000000" w:rsidRDefault="00000000" w:rsidRPr="00000000" w14:paraId="0000001D">
            <w:pPr>
              <w:spacing w:after="240" w:line="276" w:lineRule="auto"/>
              <w:jc w:val="both"/>
              <w:rPr>
                <w:color w:val="767171"/>
              </w:rPr>
            </w:pPr>
            <w:r w:rsidDel="00000000" w:rsidR="00000000" w:rsidRPr="00000000">
              <w:rPr>
                <w:color w:val="767171"/>
                <w:rtl w:val="0"/>
              </w:rPr>
              <w:t xml:space="preserve">De cara a las fases finales de despliegue, se planea mantener este esquema asíncrono para la entrega del módulo analítico. Asimismo, se estructuraron manuales de usuario ilustrados y guías técnicas de instalación que asegurarán la adopción del software por parte del cuerpo docente, mitigando cualquier brecha en la transferencia tecnológica.</w:t>
            </w:r>
          </w:p>
          <w:p w:rsidR="00000000" w:rsidDel="00000000" w:rsidP="00000000" w:rsidRDefault="00000000" w:rsidRPr="00000000" w14:paraId="0000001E">
            <w:pPr>
              <w:jc w:val="both"/>
              <w:rPr>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color w:val="767171"/>
              </w:rPr>
            </w:pPr>
            <w:r w:rsidDel="00000000" w:rsidR="00000000" w:rsidRPr="00000000">
              <w:rPr>
                <w:color w:val="767171"/>
                <w:rtl w:val="0"/>
              </w:rPr>
              <w:t xml:space="preserve">El desempeño técnico en esta fase se evalúa de forma altamente positiva, destacando el levantamiento de historias de usuario adaptadas a párvulos y el diseño del panel analítico para los docentes del IPEI. Se resalta la capacidad para transformar las necesidades pedagógicas del cliente real en requerimientos informáticos claros, así como la estructuración del flujo de trabajo en Jira Software respetando la Regla del 100% del PMI. </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color w:val="767171"/>
              </w:rPr>
            </w:pPr>
            <w:r w:rsidDel="00000000" w:rsidR="00000000" w:rsidRPr="00000000">
              <w:rPr>
                <w:color w:val="767171"/>
                <w:rtl w:val="0"/>
              </w:rPr>
              <w:t xml:space="preserve">A medida que el proyecto avanza hacia la integración del panel analítico, surge la inquietud sobre cuál es el nivel de granularidad más adecuado para presentar las métricas a los educadores del IPEI sin saturar la interfaz de usuario. Asimismo, genera incertidumbre determinar el mecanismo más eficiente para empaquetar y distribuir las actualizaciones de la versión APK en dispositivos que no cuentan con acceso continuo a tiendas de aplicaciones. </w:t>
            </w:r>
          </w:p>
          <w:p w:rsidR="00000000" w:rsidDel="00000000" w:rsidP="00000000" w:rsidRDefault="00000000" w:rsidRPr="00000000" w14:paraId="00000035">
            <w:pPr>
              <w:jc w:val="both"/>
              <w:rPr>
                <w:b w:val="1"/>
                <w:bCs w:val="1"/>
                <w:color w:val="1f4e79"/>
              </w:rPr>
            </w:pPr>
            <w:r w:rsidDel="00000000" w:rsidR="00000000" w:rsidRPr="00000000">
              <w:rPr>
                <w:rtl w:val="0"/>
              </w:rPr>
            </w:r>
          </w:p>
          <w:p w:rsidR="00000000" w:rsidDel="00000000" w:rsidP="00000000" w:rsidRDefault="00000000" w:rsidRPr="00000000" w14:paraId="00000036">
            <w:pPr>
              <w:jc w:val="both"/>
              <w:rPr>
                <w:color w:val="767171"/>
              </w:rPr>
            </w:pPr>
            <w:r w:rsidDel="00000000" w:rsidR="00000000" w:rsidRPr="00000000">
              <w:rPr>
                <w:color w:val="767171"/>
                <w:rtl w:val="0"/>
              </w:rPr>
              <w:t xml:space="preserve">Una pregunta que me gustaría hacerle a la docente es;</w:t>
            </w:r>
          </w:p>
          <w:p w:rsidR="00000000" w:rsidDel="00000000" w:rsidP="00000000" w:rsidRDefault="00000000" w:rsidRPr="00000000" w14:paraId="00000037">
            <w:pPr>
              <w:jc w:val="both"/>
              <w:rPr>
                <w:color w:val="767171"/>
              </w:rPr>
            </w:pPr>
            <w:r w:rsidDel="00000000" w:rsidR="00000000" w:rsidRPr="00000000">
              <w:rPr>
                <w:color w:val="767171"/>
                <w:rtl w:val="0"/>
              </w:rPr>
              <w:t xml:space="preserve">¿Qué criterios de diseño visual o estructura de reporte recomiendan para garantizar que un panel analítico en Flutter sea fácilmente interpretable por docentes no técnicos, y qué estrategia de distribución directa de APK resulta más segura para instituciones con conectividad restringida? </w:t>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color w:val="767171"/>
                <w:sz w:val="24"/>
                <w:szCs w:val="24"/>
                <w:rtl w:val="0"/>
              </w:rPr>
              <w:t xml:space="preserve">No se considera necesaria una redistribución de las actividades vigentes, ya que la asignación de la EDT (280 Horas-Hombre) se planificó de forma equitativa respetando los roles XP y las competencias de cada integrante. Las responsabilidades actuales permiten avanzar conforme al cronograma sin sobrecargar a ningún miembro del equipo. </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767171"/>
                <w:sz w:val="24"/>
                <w:szCs w:val="24"/>
              </w:rPr>
            </w:pPr>
            <w:bookmarkStart w:colFirst="0" w:colLast="0" w:name="_heading=h.lnztj9rehgw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spacing w:after="240" w:line="276" w:lineRule="auto"/>
              <w:jc w:val="both"/>
              <w:rPr>
                <w:color w:val="767171"/>
                <w:sz w:val="24"/>
                <w:szCs w:val="24"/>
              </w:rPr>
            </w:pPr>
            <w:r w:rsidDel="00000000" w:rsidR="00000000" w:rsidRPr="00000000">
              <w:rPr>
                <w:color w:val="767171"/>
                <w:sz w:val="24"/>
                <w:szCs w:val="24"/>
                <w:rtl w:val="0"/>
              </w:rPr>
              <w:t xml:space="preserve">El desempeño del equipo se evalúa como altamente efectivo y coordinado, destacando que la aplicación de los principios de Extreme Programming y el seguimiento en Jira Software permitieron mantener un flujo de trabajo constante que cumplió las entregas de la EDT en los plazos previstos. Entre los aspectos más positivos resaltan la comunicación fluida mantenida en reuniones semanales sistemáticas de revisión, el compromiso equitativo en la asignación de la carga horaria de 280 Horas-Hombre y la capacidad de adaptación rápida ante los requerimientos y validaciones presentados por el Instituto Psicopedagógico de Educación Infantil (IPEI).</w:t>
            </w:r>
          </w:p>
          <w:p w:rsidR="00000000" w:rsidDel="00000000" w:rsidP="00000000" w:rsidRDefault="00000000" w:rsidRPr="00000000" w14:paraId="00000048">
            <w:pPr>
              <w:spacing w:after="240" w:line="276" w:lineRule="auto"/>
              <w:jc w:val="both"/>
              <w:rPr>
                <w:color w:val="767171"/>
                <w:sz w:val="24"/>
                <w:szCs w:val="24"/>
              </w:rPr>
            </w:pPr>
            <w:r w:rsidDel="00000000" w:rsidR="00000000" w:rsidRPr="00000000">
              <w:rPr>
                <w:color w:val="767171"/>
                <w:sz w:val="24"/>
                <w:szCs w:val="24"/>
                <w:rtl w:val="0"/>
              </w:rPr>
              <w:t xml:space="preserve">Como oportunidades de mejora para las siguientes etapas, se identifica la necesidad de formalizar la documentación interna de los acuerdos alcanzados en cada reunión desde el inicio de las iteraciones. Asimismo, se plantea la importancia de anticipar las sesiones de validación con los usuarios finales con mayor margen de tiempo, evitando así acumulaciones de revisiones en días específicos y agilizando el flujo de trabajo general.</w:t>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9gVUcFWaOo/lfqpQpNde2q1ig==">CgMxLjAyDmgubG56dGo5cmVoZ3c2OAByITE2VWNQa1B2RHJaWU04cWxiUkNOclMwRHlMaXdVNWdSVA==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