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line="300" w:lineRule="auto"/>
      </w:pPr>
      <w:r>
        <w:rPr>
          <w:rFonts w:ascii="Liberation Sans" w:hAnsi="Liberation Sans"/>
          <w:b/>
          <w:i w:val="0"/>
          <w:color w:val="2F7F78"/>
          <w:sz w:val="18"/>
        </w:rPr>
        <w:t>BLEENTR / BRAND SYSTEM 01</w:t>
      </w:r>
    </w:p>
    <w:p>
      <w:pPr>
        <w:jc w:val="left"/>
      </w:pPr>
      <w:r>
        <w:drawing>
          <wp:inline xmlns:a="http://schemas.openxmlformats.org/drawingml/2006/main" xmlns:pic="http://schemas.openxmlformats.org/drawingml/2006/picture">
            <wp:extent cx="2834640" cy="2572436"/>
            <wp:docPr id="1" name="Picture 1" descr="Know the Map stacked logo: K-shaped repository topology with one highlighted change node." title="Know the Map stacked logo"/>
            <wp:cNvGraphicFramePr>
              <a:graphicFrameLocks noChangeAspect="1"/>
            </wp:cNvGraphicFramePr>
            <a:graphic>
              <a:graphicData uri="http://schemas.openxmlformats.org/drawingml/2006/picture">
                <pic:pic>
                  <pic:nvPicPr>
                    <pic:cNvPr id="0" name="ktm-lockup-stacked-primary.png"/>
                    <pic:cNvPicPr/>
                  </pic:nvPicPr>
                  <pic:blipFill>
                    <a:blip r:embed="rId10"/>
                    <a:stretch>
                      <a:fillRect/>
                    </a:stretch>
                  </pic:blipFill>
                  <pic:spPr>
                    <a:xfrm>
                      <a:off x="0" y="0"/>
                      <a:ext cx="2834640" cy="2572436"/>
                    </a:xfrm>
                    <a:prstGeom prst="rect"/>
                  </pic:spPr>
                </pic:pic>
              </a:graphicData>
            </a:graphic>
          </wp:inline>
        </w:drawing>
      </w:r>
    </w:p>
    <w:p>
      <w:pPr>
        <w:spacing w:after="100" w:line="300" w:lineRule="auto"/>
      </w:pPr>
      <w:r>
        <w:rPr>
          <w:rFonts w:ascii="Liberation Sans" w:hAnsi="Liberation Sans"/>
          <w:b/>
          <w:i w:val="0"/>
          <w:color w:val="0B1F2A"/>
          <w:sz w:val="50"/>
        </w:rPr>
        <w:t>Brand manual</w:t>
      </w:r>
    </w:p>
    <w:p>
      <w:pPr>
        <w:spacing w:after="500" w:line="300" w:lineRule="auto"/>
      </w:pPr>
      <w:r>
        <w:rPr>
          <w:rFonts w:ascii="Liberation Sans" w:hAnsi="Liberation Sans"/>
          <w:b w:val="0"/>
          <w:i w:val="0"/>
          <w:color w:val="607680"/>
          <w:sz w:val="26"/>
        </w:rPr>
        <w:t>Repository &amp; Change Intelligence</w:t>
      </w:r>
    </w:p>
    <w:p>
      <w:pPr>
        <w:spacing w:before="80" w:after="200" w:line="288" w:lineRule="auto"/>
        <w:ind w:left="144" w:right="144"/>
        <w:shd w:fill="F5F1E8"/>
      </w:pPr>
      <w:r>
        <w:rPr>
          <w:rFonts w:ascii="Liberation Sans" w:hAnsi="Liberation Sans"/>
          <w:b/>
          <w:i w:val="0"/>
          <w:color w:val="2F7F78"/>
          <w:sz w:val="17"/>
        </w:rPr>
        <w:t xml:space="preserve">BRAND THESIS  </w:t>
      </w:r>
      <w:r>
        <w:rPr>
          <w:rFonts w:ascii="Liberation Sans" w:hAnsi="Liberation Sans"/>
          <w:b/>
          <w:i w:val="0"/>
          <w:color w:val="0B1F2A"/>
          <w:sz w:val="22"/>
        </w:rPr>
        <w:t>Deep understanding for the systems behind every change.</w:t>
      </w:r>
    </w:p>
    <w:p>
      <w:pPr>
        <w:spacing w:after="0" w:line="300" w:lineRule="auto"/>
      </w:pPr>
      <w:r>
        <w:rPr>
          <w:rFonts w:ascii="Liberation Sans" w:hAnsi="Liberation Sans"/>
          <w:b w:val="0"/>
          <w:i w:val="0"/>
          <w:color w:val="607680"/>
          <w:sz w:val="18"/>
        </w:rPr>
        <w:t>Version 1.0  ·  August 2026</w:t>
      </w:r>
    </w:p>
    <w:p>
      <w:r>
        <w:br w:type="page"/>
      </w:r>
    </w:p>
    <w:p>
      <w:pPr>
        <w:spacing w:before="160" w:after="120"/>
      </w:pPr>
      <w:r>
        <w:rPr>
          <w:rFonts w:ascii="Liberation Sans" w:hAnsi="Liberation Sans"/>
          <w:b/>
          <w:i w:val="0"/>
          <w:color w:val="2F7F78"/>
          <w:sz w:val="17"/>
        </w:rPr>
        <w:t>01 / FOUNDATION</w:t>
      </w:r>
    </w:p>
    <w:p>
      <w:pPr>
        <w:spacing w:after="160"/>
      </w:pPr>
      <w:r>
        <w:rPr>
          <w:rFonts w:ascii="Liberation Sans" w:hAnsi="Liberation Sans"/>
          <w:b/>
          <w:i w:val="0"/>
          <w:color w:val="0B1F2A"/>
          <w:sz w:val="48"/>
        </w:rPr>
        <w:t>The map reviewers need</w:t>
      </w:r>
    </w:p>
    <w:p>
      <w:pPr>
        <w:spacing w:after="280" w:line="300" w:lineRule="auto"/>
      </w:pPr>
      <w:r>
        <w:rPr>
          <w:rFonts w:ascii="Liberation Sans" w:hAnsi="Liberation Sans"/>
          <w:b w:val="0"/>
          <w:i w:val="0"/>
          <w:color w:val="607680"/>
          <w:sz w:val="24"/>
        </w:rPr>
        <w:t>Know the Map gives engineers a durable mental model of a repository and makes change legible in that context.</w:t>
      </w:r>
    </w:p>
    <w:p>
      <w:pPr>
        <w:spacing w:before="80" w:after="200" w:line="288" w:lineRule="auto"/>
        <w:ind w:left="144" w:right="144"/>
        <w:shd w:fill="DDE5E2"/>
      </w:pPr>
      <w:r>
        <w:rPr>
          <w:rFonts w:ascii="Liberation Sans" w:hAnsi="Liberation Sans"/>
          <w:b/>
          <w:i w:val="0"/>
          <w:color w:val="2F7F78"/>
          <w:sz w:val="17"/>
        </w:rPr>
        <w:t xml:space="preserve">CENTRAL PRINCIPLE  </w:t>
      </w:r>
      <w:r>
        <w:rPr>
          <w:rFonts w:ascii="Liberation Sans" w:hAnsi="Liberation Sans"/>
          <w:b/>
          <w:i w:val="0"/>
          <w:color w:val="0B1F2A"/>
          <w:sz w:val="22"/>
        </w:rPr>
        <w:t>Reduce the amount of system state the reviewer must reconstruct mentally.</w:t>
      </w:r>
    </w:p>
    <w:p>
      <w:pPr>
        <w:pStyle w:val="Heading1"/>
        <w:keepNext/>
      </w:pPr>
      <w:r>
        <w:t>What the product is</w:t>
      </w:r>
    </w:p>
    <w:p>
      <w:pPr>
        <w:spacing w:after="120" w:line="300" w:lineRule="auto"/>
      </w:pPr>
      <w:r>
        <w:rPr>
          <w:rFonts w:ascii="Liberation Sans" w:hAnsi="Liberation Sans"/>
          <w:b w:val="0"/>
          <w:i w:val="0"/>
          <w:color w:val="0B1F2A"/>
          <w:sz w:val="21"/>
        </w:rPr>
        <w:t>Repository &amp; Change Intelligence: a persistent, temporal model of structure, dependencies, flows, intent, invariants, ownership, tests, and architectural history. A pull request is understood as a semantic transition between two repository states—not as isolated text.</w:t>
      </w:r>
    </w:p>
    <w:p>
      <w:pPr>
        <w:pStyle w:val="Heading2"/>
        <w:keepNext/>
      </w:pPr>
      <w:r>
        <w:t>What the product is not</w:t>
      </w:r>
    </w:p>
    <w:p>
      <w:pPr>
        <w:pStyle w:val="ListBullet"/>
        <w:spacing w:after="80" w:line="300" w:lineRule="auto"/>
      </w:pPr>
      <w:r>
        <w:rPr>
          <w:rFonts w:ascii="Liberation Sans" w:hAnsi="Liberation Sans"/>
          <w:b w:val="0"/>
          <w:i w:val="0"/>
          <w:color w:val="0B1F2A"/>
          <w:sz w:val="20"/>
        </w:rPr>
        <w:t>A generic AI code reviewer.</w:t>
      </w:r>
    </w:p>
    <w:p>
      <w:pPr>
        <w:pStyle w:val="ListBullet"/>
        <w:spacing w:after="80" w:line="300" w:lineRule="auto"/>
      </w:pPr>
      <w:r>
        <w:rPr>
          <w:rFonts w:ascii="Liberation Sans" w:hAnsi="Liberation Sans"/>
          <w:b w:val="0"/>
          <w:i w:val="0"/>
          <w:color w:val="0B1F2A"/>
          <w:sz w:val="20"/>
        </w:rPr>
        <w:t>A diff summarizer with a chat box.</w:t>
      </w:r>
    </w:p>
    <w:p>
      <w:pPr>
        <w:pStyle w:val="ListBullet"/>
        <w:spacing w:after="80" w:line="300" w:lineRule="auto"/>
      </w:pPr>
      <w:r>
        <w:rPr>
          <w:rFonts w:ascii="Liberation Sans" w:hAnsi="Liberation Sans"/>
          <w:b w:val="0"/>
          <w:i w:val="0"/>
          <w:color w:val="0B1F2A"/>
          <w:sz w:val="20"/>
        </w:rPr>
        <w:t>A static documentation generator.</w:t>
      </w:r>
    </w:p>
    <w:p>
      <w:pPr>
        <w:pStyle w:val="ListBullet"/>
        <w:spacing w:after="80" w:line="300" w:lineRule="auto"/>
      </w:pPr>
      <w:r>
        <w:rPr>
          <w:rFonts w:ascii="Liberation Sans" w:hAnsi="Liberation Sans"/>
          <w:b w:val="0"/>
          <w:i w:val="0"/>
          <w:color w:val="0B1F2A"/>
          <w:sz w:val="20"/>
        </w:rPr>
        <w:t>A promise to replace engineering judgment.</w:t>
      </w:r>
    </w:p>
    <w:p>
      <w:pPr>
        <w:pStyle w:val="Heading2"/>
        <w:keepNext/>
      </w:pPr>
      <w:r>
        <w:t>Brand promise</w:t>
      </w:r>
    </w:p>
    <w:p>
      <w:pPr>
        <w:spacing w:after="120" w:line="300" w:lineRule="auto"/>
      </w:pPr>
      <w:r>
        <w:rPr>
          <w:rFonts w:ascii="Liberation Sans" w:hAnsi="Liberation Sans"/>
          <w:b/>
          <w:i w:val="0"/>
          <w:color w:val="0B1F2A"/>
          <w:sz w:val="24"/>
        </w:rPr>
        <w:t>Give reviewers the mental map they need without making them reconstruct the whole system from scratch.</w:t>
      </w:r>
    </w:p>
    <w:p>
      <w:r>
        <w:br w:type="page"/>
      </w:r>
    </w:p>
    <w:p>
      <w:pPr>
        <w:spacing w:before="160" w:after="120"/>
      </w:pPr>
      <w:r>
        <w:rPr>
          <w:rFonts w:ascii="Liberation Sans" w:hAnsi="Liberation Sans"/>
          <w:b/>
          <w:i w:val="0"/>
          <w:color w:val="2F7F78"/>
          <w:sz w:val="17"/>
        </w:rPr>
        <w:t>02 / POSITIONING</w:t>
      </w:r>
    </w:p>
    <w:p>
      <w:pPr>
        <w:spacing w:after="160"/>
      </w:pPr>
      <w:r>
        <w:rPr>
          <w:rFonts w:ascii="Liberation Sans" w:hAnsi="Liberation Sans"/>
          <w:b/>
          <w:i w:val="0"/>
          <w:color w:val="0B1F2A"/>
          <w:sz w:val="48"/>
        </w:rPr>
        <w:t>Own comprehension, not automation</w:t>
      </w:r>
    </w:p>
    <w:p>
      <w:pPr>
        <w:pStyle w:val="Heading1"/>
        <w:keepNext/>
      </w:pPr>
      <w:r>
        <w:t>Positioning statement</w:t>
      </w:r>
    </w:p>
    <w:p>
      <w:pPr>
        <w:spacing w:after="120" w:line="300" w:lineRule="auto"/>
      </w:pPr>
      <w:r>
        <w:rPr>
          <w:rFonts w:ascii="Liberation Sans" w:hAnsi="Liberation Sans"/>
          <w:b w:val="0"/>
          <w:i w:val="0"/>
          <w:color w:val="0B1F2A"/>
          <w:sz w:val="22"/>
        </w:rPr>
        <w:t>For engineers and technical teams reviewing complex, stacked, or agent-generated changes, Know the Map is the repository and change-intelligence layer that shows what the system was, what a change alters, and what the system becomes. Unlike diff summarizers and generic AI reviewers, it grounds review in a persistent, evidence-aware model of architecture and history.</w:t>
      </w:r>
    </w:p>
    <w:p>
      <w:pPr>
        <w:pStyle w:val="Heading1"/>
        <w:keepNext/>
      </w:pPr>
      <w:r>
        <w:t>Message hierarchy</w:t>
      </w:r>
    </w:p>
    <w:p>
      <w:pPr>
        <w:pStyle w:val="ListNumber"/>
        <w:spacing w:after="80" w:line="300" w:lineRule="auto"/>
      </w:pPr>
      <w:r>
        <w:rPr>
          <w:rFonts w:ascii="Liberation Sans" w:hAnsi="Liberation Sans"/>
          <w:b w:val="0"/>
          <w:i w:val="0"/>
          <w:color w:val="0B1F2A"/>
          <w:sz w:val="20"/>
        </w:rPr>
        <w:t>Understand the system, not just the diff.</w:t>
      </w:r>
    </w:p>
    <w:p>
      <w:pPr>
        <w:pStyle w:val="ListNumber"/>
        <w:spacing w:after="80" w:line="300" w:lineRule="auto"/>
      </w:pPr>
      <w:r>
        <w:rPr>
          <w:rFonts w:ascii="Liberation Sans" w:hAnsi="Liberation Sans"/>
          <w:b w:val="0"/>
          <w:i w:val="0"/>
          <w:color w:val="0B1F2A"/>
          <w:sz w:val="20"/>
        </w:rPr>
        <w:t>See architecture and history around every change.</w:t>
      </w:r>
    </w:p>
    <w:p>
      <w:pPr>
        <w:pStyle w:val="ListNumber"/>
        <w:spacing w:after="80" w:line="300" w:lineRule="auto"/>
      </w:pPr>
      <w:r>
        <w:rPr>
          <w:rFonts w:ascii="Liberation Sans" w:hAnsi="Liberation Sans"/>
          <w:b w:val="0"/>
          <w:i w:val="0"/>
          <w:color w:val="0B1F2A"/>
          <w:sz w:val="20"/>
        </w:rPr>
        <w:t>Review a semantic transition, not isolated hunks.</w:t>
      </w:r>
    </w:p>
    <w:p>
      <w:pPr>
        <w:pStyle w:val="ListNumber"/>
        <w:spacing w:after="80" w:line="300" w:lineRule="auto"/>
      </w:pPr>
      <w:r>
        <w:rPr>
          <w:rFonts w:ascii="Liberation Sans" w:hAnsi="Liberation Sans"/>
          <w:b w:val="0"/>
          <w:i w:val="0"/>
          <w:color w:val="0B1F2A"/>
          <w:sz w:val="20"/>
        </w:rPr>
        <w:t>Reduce the system state reviewers must reconstruct mentally.</w:t>
      </w:r>
    </w:p>
    <w:p>
      <w:pPr>
        <w:pStyle w:val="ListNumber"/>
        <w:spacing w:after="80" w:line="300" w:lineRule="auto"/>
      </w:pPr>
      <w:r>
        <w:rPr>
          <w:rFonts w:ascii="Liberation Sans" w:hAnsi="Liberation Sans"/>
          <w:b w:val="0"/>
          <w:i w:val="0"/>
          <w:color w:val="0B1F2A"/>
          <w:sz w:val="20"/>
        </w:rPr>
        <w:t>Bring the harness that fits your workflow; Know the Map remains the intelligence layer.</w:t>
      </w:r>
    </w:p>
    <w:p>
      <w:pPr>
        <w:pStyle w:val="Heading2"/>
        <w:keepNext/>
      </w:pPr>
      <w:r>
        <w:t>Category language</w:t>
      </w:r>
    </w:p>
    <w:p>
      <w:pPr>
        <w:spacing w:after="120" w:line="300" w:lineRule="auto"/>
      </w:pPr>
      <w:r>
        <w:rPr>
          <w:rFonts w:ascii="Liberation Sans" w:hAnsi="Liberation Sans"/>
          <w:b w:val="0"/>
          <w:i w:val="0"/>
          <w:color w:val="0B1F2A"/>
          <w:sz w:val="21"/>
        </w:rPr>
        <w:t>Lead with “Repository &amp; Change Intelligence.” Use “AI” only when explaining how analysis is executed. The capability is intelligence; the customer outcome is comprehension.</w:t>
      </w:r>
    </w:p>
    <w:p>
      <w:r>
        <w:br w:type="page"/>
      </w:r>
    </w:p>
    <w:p>
      <w:pPr>
        <w:spacing w:before="160" w:after="120"/>
      </w:pPr>
      <w:r>
        <w:rPr>
          <w:rFonts w:ascii="Liberation Sans" w:hAnsi="Liberation Sans"/>
          <w:b/>
          <w:i w:val="0"/>
          <w:color w:val="2F7F78"/>
          <w:sz w:val="17"/>
        </w:rPr>
        <w:t>03 / MESSAGING</w:t>
      </w:r>
    </w:p>
    <w:p>
      <w:pPr>
        <w:spacing w:after="160"/>
      </w:pPr>
      <w:r>
        <w:rPr>
          <w:rFonts w:ascii="Liberation Sans" w:hAnsi="Liberation Sans"/>
          <w:b/>
          <w:i w:val="0"/>
          <w:color w:val="0B1F2A"/>
          <w:sz w:val="48"/>
        </w:rPr>
        <w:t>A language system for understanding</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512"/>
            <w:tcMar>
              <w:top w:w="120" w:type="dxa"/>
              <w:start w:w="140" w:type="dxa"/>
              <w:bottom w:w="120" w:type="dxa"/>
              <w:end w:w="140" w:type="dxa"/>
            </w:tcMar>
            <w:vAlign w:val="center"/>
            <w:shd w:fill="0B1F2A"/>
          </w:tcPr>
          <w:p>
            <w:pPr>
              <w:spacing w:after="0"/>
            </w:pPr>
            <w:r>
              <w:rPr>
                <w:rFonts w:ascii="Liberation Sans" w:hAnsi="Liberation Sans"/>
                <w:b/>
                <w:i w:val="0"/>
                <w:color w:val="FFFFFF"/>
                <w:sz w:val="18"/>
              </w:rPr>
              <w:t>Role</w:t>
            </w:r>
          </w:p>
        </w:tc>
        <w:tc>
          <w:tcPr>
            <w:tcW w:type="dxa" w:w="3816"/>
            <w:tcMar>
              <w:top w:w="120" w:type="dxa"/>
              <w:start w:w="140" w:type="dxa"/>
              <w:bottom w:w="120" w:type="dxa"/>
              <w:end w:w="140" w:type="dxa"/>
            </w:tcMar>
            <w:vAlign w:val="center"/>
            <w:shd w:fill="0B1F2A"/>
          </w:tcPr>
          <w:p>
            <w:pPr>
              <w:spacing w:after="0"/>
            </w:pPr>
            <w:r>
              <w:rPr>
                <w:rFonts w:ascii="Liberation Sans" w:hAnsi="Liberation Sans"/>
                <w:b/>
                <w:i w:val="0"/>
                <w:color w:val="FFFFFF"/>
                <w:sz w:val="18"/>
              </w:rPr>
              <w:t>Line</w:t>
            </w:r>
          </w:p>
        </w:tc>
        <w:tc>
          <w:tcPr>
            <w:tcW w:type="dxa" w:w="4032"/>
            <w:tcMar>
              <w:top w:w="120" w:type="dxa"/>
              <w:start w:w="140" w:type="dxa"/>
              <w:bottom w:w="120" w:type="dxa"/>
              <w:end w:w="140" w:type="dxa"/>
            </w:tcMar>
            <w:vAlign w:val="center"/>
            <w:shd w:fill="0B1F2A"/>
          </w:tcPr>
          <w:p>
            <w:pPr>
              <w:spacing w:after="0"/>
            </w:pPr>
            <w:r>
              <w:rPr>
                <w:rFonts w:ascii="Liberation Sans" w:hAnsi="Liberation Sans"/>
                <w:b/>
                <w:i w:val="0"/>
                <w:color w:val="FFFFFF"/>
                <w:sz w:val="18"/>
              </w:rPr>
              <w:t>Use</w:t>
            </w:r>
          </w:p>
        </w:tc>
      </w:tr>
      <w:tr>
        <w:tc>
          <w:tcPr>
            <w:tcW w:type="dxa" w:w="1512"/>
            <w:tcMar>
              <w:top w:w="120" w:type="dxa"/>
              <w:start w:w="140" w:type="dxa"/>
              <w:bottom w:w="120" w:type="dxa"/>
              <w:end w:w="140" w:type="dxa"/>
            </w:tcMar>
            <w:vAlign w:val="center"/>
          </w:tcPr>
          <w:p>
            <w:pPr>
              <w:spacing w:after="0"/>
            </w:pPr>
            <w:r>
              <w:rPr>
                <w:rFonts w:ascii="Liberation Sans" w:hAnsi="Liberation Sans"/>
                <w:b w:val="0"/>
                <w:i w:val="0"/>
                <w:color w:val="0B1F2A"/>
                <w:sz w:val="18"/>
              </w:rPr>
              <w:t>Primary</w:t>
            </w:r>
          </w:p>
        </w:tc>
        <w:tc>
          <w:tcPr>
            <w:tcW w:type="dxa" w:w="3816"/>
            <w:tcMar>
              <w:top w:w="120" w:type="dxa"/>
              <w:start w:w="140" w:type="dxa"/>
              <w:bottom w:w="120" w:type="dxa"/>
              <w:end w:w="140" w:type="dxa"/>
            </w:tcMar>
            <w:vAlign w:val="center"/>
          </w:tcPr>
          <w:p>
            <w:pPr>
              <w:spacing w:after="0"/>
            </w:pPr>
            <w:r>
              <w:rPr>
                <w:rFonts w:ascii="Liberation Sans" w:hAnsi="Liberation Sans"/>
                <w:b w:val="0"/>
                <w:i w:val="0"/>
                <w:color w:val="0B1F2A"/>
                <w:sz w:val="18"/>
              </w:rPr>
              <w:t>Understand the system behind the change.</w:t>
            </w:r>
          </w:p>
        </w:tc>
        <w:tc>
          <w:tcPr>
            <w:tcW w:type="dxa" w:w="4032"/>
            <w:tcMar>
              <w:top w:w="120" w:type="dxa"/>
              <w:start w:w="140" w:type="dxa"/>
              <w:bottom w:w="120" w:type="dxa"/>
              <w:end w:w="140" w:type="dxa"/>
            </w:tcMar>
            <w:vAlign w:val="center"/>
          </w:tcPr>
          <w:p>
            <w:pPr>
              <w:spacing w:after="0"/>
            </w:pPr>
            <w:r>
              <w:rPr>
                <w:rFonts w:ascii="Liberation Sans" w:hAnsi="Liberation Sans"/>
                <w:b w:val="0"/>
                <w:i w:val="0"/>
                <w:color w:val="0B1F2A"/>
                <w:sz w:val="18"/>
              </w:rPr>
              <w:t>Default product tagline</w:t>
            </w:r>
          </w:p>
        </w:tc>
      </w:tr>
      <w:tr>
        <w:tc>
          <w:tcPr>
            <w:tcW w:type="dxa" w:w="1512"/>
            <w:tcMar>
              <w:top w:w="120" w:type="dxa"/>
              <w:start w:w="140" w:type="dxa"/>
              <w:bottom w:w="120" w:type="dxa"/>
              <w:end w:w="140" w:type="dxa"/>
            </w:tcMar>
            <w:vAlign w:val="center"/>
          </w:tcPr>
          <w:p>
            <w:pPr>
              <w:spacing w:after="0"/>
            </w:pPr>
            <w:r>
              <w:rPr>
                <w:rFonts w:ascii="Liberation Sans" w:hAnsi="Liberation Sans"/>
                <w:b w:val="0"/>
                <w:i w:val="0"/>
                <w:color w:val="0B1F2A"/>
                <w:sz w:val="18"/>
              </w:rPr>
              <w:t>Campaign</w:t>
            </w:r>
          </w:p>
        </w:tc>
        <w:tc>
          <w:tcPr>
            <w:tcW w:type="dxa" w:w="3816"/>
            <w:tcMar>
              <w:top w:w="120" w:type="dxa"/>
              <w:start w:w="140" w:type="dxa"/>
              <w:bottom w:w="120" w:type="dxa"/>
              <w:end w:w="140" w:type="dxa"/>
            </w:tcMar>
            <w:vAlign w:val="center"/>
          </w:tcPr>
          <w:p>
            <w:pPr>
              <w:spacing w:after="0"/>
            </w:pPr>
            <w:r>
              <w:rPr>
                <w:rFonts w:ascii="Liberation Sans" w:hAnsi="Liberation Sans"/>
                <w:b w:val="0"/>
                <w:i w:val="0"/>
                <w:color w:val="0B1F2A"/>
                <w:sz w:val="18"/>
              </w:rPr>
              <w:t>Don’t just read the diff. Know the map.</w:t>
            </w:r>
          </w:p>
        </w:tc>
        <w:tc>
          <w:tcPr>
            <w:tcW w:type="dxa" w:w="4032"/>
            <w:tcMar>
              <w:top w:w="120" w:type="dxa"/>
              <w:start w:w="140" w:type="dxa"/>
              <w:bottom w:w="120" w:type="dxa"/>
              <w:end w:w="140" w:type="dxa"/>
            </w:tcMar>
            <w:vAlign w:val="center"/>
          </w:tcPr>
          <w:p>
            <w:pPr>
              <w:spacing w:after="0"/>
            </w:pPr>
            <w:r>
              <w:rPr>
                <w:rFonts w:ascii="Liberation Sans" w:hAnsi="Liberation Sans"/>
                <w:b w:val="0"/>
                <w:i w:val="0"/>
                <w:color w:val="0B1F2A"/>
                <w:sz w:val="18"/>
              </w:rPr>
              <w:t>Launch, README, social</w:t>
            </w:r>
          </w:p>
        </w:tc>
      </w:tr>
      <w:tr>
        <w:tc>
          <w:tcPr>
            <w:tcW w:type="dxa" w:w="1512"/>
            <w:tcMar>
              <w:top w:w="120" w:type="dxa"/>
              <w:start w:w="140" w:type="dxa"/>
              <w:bottom w:w="120" w:type="dxa"/>
              <w:end w:w="140" w:type="dxa"/>
            </w:tcMar>
            <w:vAlign w:val="center"/>
          </w:tcPr>
          <w:p>
            <w:pPr>
              <w:spacing w:after="0"/>
            </w:pPr>
            <w:r>
              <w:rPr>
                <w:rFonts w:ascii="Liberation Sans" w:hAnsi="Liberation Sans"/>
                <w:b w:val="0"/>
                <w:i w:val="0"/>
                <w:color w:val="0B1F2A"/>
                <w:sz w:val="18"/>
              </w:rPr>
              <w:t>Repository</w:t>
            </w:r>
          </w:p>
        </w:tc>
        <w:tc>
          <w:tcPr>
            <w:tcW w:type="dxa" w:w="3816"/>
            <w:tcMar>
              <w:top w:w="120" w:type="dxa"/>
              <w:start w:w="140" w:type="dxa"/>
              <w:bottom w:w="120" w:type="dxa"/>
              <w:end w:w="140" w:type="dxa"/>
            </w:tcMar>
            <w:vAlign w:val="center"/>
          </w:tcPr>
          <w:p>
            <w:pPr>
              <w:spacing w:after="0"/>
            </w:pPr>
            <w:r>
              <w:rPr>
                <w:rFonts w:ascii="Liberation Sans" w:hAnsi="Liberation Sans"/>
                <w:b w:val="0"/>
                <w:i w:val="0"/>
                <w:color w:val="0B1F2A"/>
                <w:sz w:val="18"/>
              </w:rPr>
              <w:t>See the system. Follow its history.</w:t>
            </w:r>
          </w:p>
        </w:tc>
        <w:tc>
          <w:tcPr>
            <w:tcW w:type="dxa" w:w="4032"/>
            <w:tcMar>
              <w:top w:w="120" w:type="dxa"/>
              <w:start w:w="140" w:type="dxa"/>
              <w:bottom w:w="120" w:type="dxa"/>
              <w:end w:w="140" w:type="dxa"/>
            </w:tcMar>
            <w:vAlign w:val="center"/>
          </w:tcPr>
          <w:p>
            <w:pPr>
              <w:spacing w:after="0"/>
            </w:pPr>
            <w:r>
              <w:rPr>
                <w:rFonts w:ascii="Liberation Sans" w:hAnsi="Liberation Sans"/>
                <w:b w:val="0"/>
                <w:i w:val="0"/>
                <w:color w:val="0B1F2A"/>
                <w:sz w:val="18"/>
              </w:rPr>
              <w:t>Repository intelligence</w:t>
            </w:r>
          </w:p>
        </w:tc>
      </w:tr>
      <w:tr>
        <w:tc>
          <w:tcPr>
            <w:tcW w:type="dxa" w:w="1512"/>
            <w:tcMar>
              <w:top w:w="120" w:type="dxa"/>
              <w:start w:w="140" w:type="dxa"/>
              <w:bottom w:w="120" w:type="dxa"/>
              <w:end w:w="140" w:type="dxa"/>
            </w:tcMar>
            <w:vAlign w:val="center"/>
          </w:tcPr>
          <w:p>
            <w:pPr>
              <w:spacing w:after="0"/>
            </w:pPr>
            <w:r>
              <w:rPr>
                <w:rFonts w:ascii="Liberation Sans" w:hAnsi="Liberation Sans"/>
                <w:b w:val="0"/>
                <w:i w:val="0"/>
                <w:color w:val="0B1F2A"/>
                <w:sz w:val="18"/>
              </w:rPr>
              <w:t>Change</w:t>
            </w:r>
          </w:p>
        </w:tc>
        <w:tc>
          <w:tcPr>
            <w:tcW w:type="dxa" w:w="3816"/>
            <w:tcMar>
              <w:top w:w="120" w:type="dxa"/>
              <w:start w:w="140" w:type="dxa"/>
              <w:bottom w:w="120" w:type="dxa"/>
              <w:end w:w="140" w:type="dxa"/>
            </w:tcMar>
            <w:vAlign w:val="center"/>
          </w:tcPr>
          <w:p>
            <w:pPr>
              <w:spacing w:after="0"/>
            </w:pPr>
            <w:r>
              <w:rPr>
                <w:rFonts w:ascii="Liberation Sans" w:hAnsi="Liberation Sans"/>
                <w:b w:val="0"/>
                <w:i w:val="0"/>
                <w:color w:val="0B1F2A"/>
                <w:sz w:val="18"/>
              </w:rPr>
              <w:t>Know what it was. See what it becomes.</w:t>
            </w:r>
          </w:p>
        </w:tc>
        <w:tc>
          <w:tcPr>
            <w:tcW w:type="dxa" w:w="4032"/>
            <w:tcMar>
              <w:top w:w="120" w:type="dxa"/>
              <w:start w:w="140" w:type="dxa"/>
              <w:bottom w:w="120" w:type="dxa"/>
              <w:end w:w="140" w:type="dxa"/>
            </w:tcMar>
            <w:vAlign w:val="center"/>
          </w:tcPr>
          <w:p>
            <w:pPr>
              <w:spacing w:after="0"/>
            </w:pPr>
            <w:r>
              <w:rPr>
                <w:rFonts w:ascii="Liberation Sans" w:hAnsi="Liberation Sans"/>
                <w:b w:val="0"/>
                <w:i w:val="0"/>
                <w:color w:val="0B1F2A"/>
                <w:sz w:val="18"/>
              </w:rPr>
              <w:t>PR and trajectory views</w:t>
            </w:r>
          </w:p>
        </w:tc>
      </w:tr>
      <w:tr>
        <w:tc>
          <w:tcPr>
            <w:tcW w:type="dxa" w:w="1512"/>
            <w:tcMar>
              <w:top w:w="120" w:type="dxa"/>
              <w:start w:w="140" w:type="dxa"/>
              <w:bottom w:w="120" w:type="dxa"/>
              <w:end w:w="140" w:type="dxa"/>
            </w:tcMar>
            <w:vAlign w:val="center"/>
          </w:tcPr>
          <w:p>
            <w:pPr>
              <w:spacing w:after="0"/>
            </w:pPr>
            <w:r>
              <w:rPr>
                <w:rFonts w:ascii="Liberation Sans" w:hAnsi="Liberation Sans"/>
                <w:b w:val="0"/>
                <w:i w:val="0"/>
                <w:color w:val="0B1F2A"/>
                <w:sz w:val="18"/>
              </w:rPr>
              <w:t>Agent era</w:t>
            </w:r>
          </w:p>
        </w:tc>
        <w:tc>
          <w:tcPr>
            <w:tcW w:type="dxa" w:w="3816"/>
            <w:tcMar>
              <w:top w:w="120" w:type="dxa"/>
              <w:start w:w="140" w:type="dxa"/>
              <w:bottom w:w="120" w:type="dxa"/>
              <w:end w:w="140" w:type="dxa"/>
            </w:tcMar>
            <w:vAlign w:val="center"/>
          </w:tcPr>
          <w:p>
            <w:pPr>
              <w:spacing w:after="0"/>
            </w:pPr>
            <w:r>
              <w:rPr>
                <w:rFonts w:ascii="Liberation Sans" w:hAnsi="Liberation Sans"/>
                <w:b w:val="0"/>
                <w:i w:val="0"/>
                <w:color w:val="0B1F2A"/>
                <w:sz w:val="18"/>
              </w:rPr>
              <w:t>Agents write the code. You still need to know the map.</w:t>
            </w:r>
          </w:p>
        </w:tc>
        <w:tc>
          <w:tcPr>
            <w:tcW w:type="dxa" w:w="4032"/>
            <w:tcMar>
              <w:top w:w="120" w:type="dxa"/>
              <w:start w:w="140" w:type="dxa"/>
              <w:bottom w:w="120" w:type="dxa"/>
              <w:end w:w="140" w:type="dxa"/>
            </w:tcMar>
            <w:vAlign w:val="center"/>
          </w:tcPr>
          <w:p>
            <w:pPr>
              <w:spacing w:after="0"/>
            </w:pPr>
            <w:r>
              <w:rPr>
                <w:rFonts w:ascii="Liberation Sans" w:hAnsi="Liberation Sans"/>
                <w:b w:val="0"/>
                <w:i w:val="0"/>
                <w:color w:val="0B1F2A"/>
                <w:sz w:val="18"/>
              </w:rPr>
              <w:t>Thought leadership</w:t>
            </w:r>
          </w:p>
        </w:tc>
      </w:tr>
    </w:tbl>
    <w:p>
      <w:pPr>
        <w:pStyle w:val="Heading1"/>
        <w:keepNext/>
      </w:pPr>
      <w:r>
        <w:t>Claims to avoid</w:t>
      </w:r>
    </w:p>
    <w:p>
      <w:pPr>
        <w:pStyle w:val="ListBullet"/>
        <w:spacing w:after="80" w:line="300" w:lineRule="auto"/>
      </w:pPr>
      <w:r>
        <w:rPr>
          <w:rFonts w:ascii="Liberation Sans" w:hAnsi="Liberation Sans"/>
          <w:b w:val="0"/>
          <w:i w:val="0"/>
          <w:color w:val="0B1F2A"/>
          <w:sz w:val="20"/>
        </w:rPr>
        <w:t>“AI that reviews every PR.”</w:t>
      </w:r>
    </w:p>
    <w:p>
      <w:pPr>
        <w:pStyle w:val="ListBullet"/>
        <w:spacing w:after="80" w:line="300" w:lineRule="auto"/>
      </w:pPr>
      <w:r>
        <w:rPr>
          <w:rFonts w:ascii="Liberation Sans" w:hAnsi="Liberation Sans"/>
          <w:b w:val="0"/>
          <w:i w:val="0"/>
          <w:color w:val="0B1F2A"/>
          <w:sz w:val="20"/>
        </w:rPr>
        <w:t>“Instant codebase understanding.”</w:t>
      </w:r>
    </w:p>
    <w:p>
      <w:pPr>
        <w:pStyle w:val="ListBullet"/>
        <w:spacing w:after="80" w:line="300" w:lineRule="auto"/>
      </w:pPr>
      <w:r>
        <w:rPr>
          <w:rFonts w:ascii="Liberation Sans" w:hAnsi="Liberation Sans"/>
          <w:b w:val="0"/>
          <w:i w:val="0"/>
          <w:color w:val="0B1F2A"/>
          <w:sz w:val="20"/>
        </w:rPr>
        <w:t>“Never review code again.”</w:t>
      </w:r>
    </w:p>
    <w:p>
      <w:pPr>
        <w:pStyle w:val="ListBullet"/>
        <w:spacing w:after="80" w:line="300" w:lineRule="auto"/>
      </w:pPr>
      <w:r>
        <w:rPr>
          <w:rFonts w:ascii="Liberation Sans" w:hAnsi="Liberation Sans"/>
          <w:b w:val="0"/>
          <w:i w:val="0"/>
          <w:color w:val="0B1F2A"/>
          <w:sz w:val="20"/>
        </w:rPr>
        <w:t>“Catches every bug.”</w:t>
      </w:r>
    </w:p>
    <w:p>
      <w:pPr>
        <w:spacing w:before="80" w:after="200" w:line="288" w:lineRule="auto"/>
        <w:ind w:left="144" w:right="144"/>
        <w:shd w:fill="F5F1E8"/>
      </w:pPr>
      <w:r>
        <w:rPr>
          <w:rFonts w:ascii="Liberation Sans" w:hAnsi="Liberation Sans"/>
          <w:b/>
          <w:i w:val="0"/>
          <w:color w:val="2F7F78"/>
          <w:sz w:val="17"/>
        </w:rPr>
        <w:t xml:space="preserve">RULE  </w:t>
      </w:r>
      <w:r>
        <w:rPr>
          <w:rFonts w:ascii="Liberation Sans" w:hAnsi="Liberation Sans"/>
          <w:b/>
          <w:i w:val="0"/>
          <w:color w:val="0B1F2A"/>
          <w:sz w:val="22"/>
        </w:rPr>
        <w:t>Never imply omniscience. Show the model, the evidence, and the boundary of the inference.</w:t>
      </w:r>
    </w:p>
    <w:p>
      <w:r>
        <w:br w:type="page"/>
      </w:r>
    </w:p>
    <w:p>
      <w:pPr>
        <w:spacing w:before="160" w:after="120"/>
      </w:pPr>
      <w:r>
        <w:rPr>
          <w:rFonts w:ascii="Liberation Sans" w:hAnsi="Liberation Sans"/>
          <w:b/>
          <w:i w:val="0"/>
          <w:color w:val="2F7F78"/>
          <w:sz w:val="17"/>
        </w:rPr>
        <w:t>04 / PERSONALITY</w:t>
      </w:r>
    </w:p>
    <w:p>
      <w:pPr>
        <w:spacing w:after="160"/>
      </w:pPr>
      <w:r>
        <w:rPr>
          <w:rFonts w:ascii="Liberation Sans" w:hAnsi="Liberation Sans"/>
          <w:b/>
          <w:i w:val="0"/>
          <w:color w:val="0B1F2A"/>
          <w:sz w:val="48"/>
        </w:rPr>
        <w:t>Thoughtful technical authority</w:t>
      </w:r>
    </w:p>
    <w:p>
      <w:pPr>
        <w:spacing w:after="180"/>
      </w:pPr>
      <w:r>
        <w:rPr>
          <w:rFonts w:ascii="Liberation Sans" w:hAnsi="Liberation Sans"/>
          <w:b/>
          <w:i w:val="0"/>
          <w:color w:val="0B1F2A"/>
          <w:sz w:val="24"/>
        </w:rPr>
        <w:t>Deep</w:t>
      </w:r>
      <w:r>
        <w:rPr>
          <w:rFonts w:ascii="Liberation Sans" w:hAnsi="Liberation Sans"/>
          <w:b/>
          <w:i w:val="0"/>
          <w:color w:val="2F7F78"/>
          <w:sz w:val="21"/>
        </w:rPr>
        <w:t xml:space="preserve"> — not dense. </w:t>
      </w:r>
      <w:r>
        <w:rPr>
          <w:rFonts w:ascii="Liberation Sans" w:hAnsi="Liberation Sans"/>
          <w:b w:val="0"/>
          <w:i w:val="0"/>
          <w:color w:val="0B1F2A"/>
          <w:sz w:val="21"/>
        </w:rPr>
        <w:t>Reveal the underlying model without performing complexity.</w:t>
      </w:r>
    </w:p>
    <w:p>
      <w:pPr>
        <w:spacing w:after="180"/>
      </w:pPr>
      <w:r>
        <w:rPr>
          <w:rFonts w:ascii="Liberation Sans" w:hAnsi="Liberation Sans"/>
          <w:b/>
          <w:i w:val="0"/>
          <w:color w:val="0B1F2A"/>
          <w:sz w:val="24"/>
        </w:rPr>
        <w:t>Grounded</w:t>
      </w:r>
      <w:r>
        <w:rPr>
          <w:rFonts w:ascii="Liberation Sans" w:hAnsi="Liberation Sans"/>
          <w:b/>
          <w:i w:val="0"/>
          <w:color w:val="2F7F78"/>
          <w:sz w:val="21"/>
        </w:rPr>
        <w:t xml:space="preserve"> — not magical. </w:t>
      </w:r>
      <w:r>
        <w:rPr>
          <w:rFonts w:ascii="Liberation Sans" w:hAnsi="Liberation Sans"/>
          <w:b w:val="0"/>
          <w:i w:val="0"/>
          <w:color w:val="0B1F2A"/>
          <w:sz w:val="21"/>
        </w:rPr>
        <w:t>Point to code, history, tests, and evidence.</w:t>
      </w:r>
    </w:p>
    <w:p>
      <w:pPr>
        <w:spacing w:after="180"/>
      </w:pPr>
      <w:r>
        <w:rPr>
          <w:rFonts w:ascii="Liberation Sans" w:hAnsi="Liberation Sans"/>
          <w:b/>
          <w:i w:val="0"/>
          <w:color w:val="0B1F2A"/>
          <w:sz w:val="24"/>
        </w:rPr>
        <w:t>Calm</w:t>
      </w:r>
      <w:r>
        <w:rPr>
          <w:rFonts w:ascii="Liberation Sans" w:hAnsi="Liberation Sans"/>
          <w:b/>
          <w:i w:val="0"/>
          <w:color w:val="2F7F78"/>
          <w:sz w:val="21"/>
        </w:rPr>
        <w:t xml:space="preserve"> — not alarmist. </w:t>
      </w:r>
      <w:r>
        <w:rPr>
          <w:rFonts w:ascii="Liberation Sans" w:hAnsi="Liberation Sans"/>
          <w:b w:val="0"/>
          <w:i w:val="0"/>
          <w:color w:val="0B1F2A"/>
          <w:sz w:val="21"/>
        </w:rPr>
        <w:t>Surface risk in proportion to evidence.</w:t>
      </w:r>
    </w:p>
    <w:p>
      <w:pPr>
        <w:spacing w:after="180"/>
      </w:pPr>
      <w:r>
        <w:rPr>
          <w:rFonts w:ascii="Liberation Sans" w:hAnsi="Liberation Sans"/>
          <w:b/>
          <w:i w:val="0"/>
          <w:color w:val="0B1F2A"/>
          <w:sz w:val="24"/>
        </w:rPr>
        <w:t>Precise</w:t>
      </w:r>
      <w:r>
        <w:rPr>
          <w:rFonts w:ascii="Liberation Sans" w:hAnsi="Liberation Sans"/>
          <w:b/>
          <w:i w:val="0"/>
          <w:color w:val="2F7F78"/>
          <w:sz w:val="21"/>
        </w:rPr>
        <w:t xml:space="preserve"> — not pedantic. </w:t>
      </w:r>
      <w:r>
        <w:rPr>
          <w:rFonts w:ascii="Liberation Sans" w:hAnsi="Liberation Sans"/>
          <w:b w:val="0"/>
          <w:i w:val="0"/>
          <w:color w:val="0B1F2A"/>
          <w:sz w:val="21"/>
        </w:rPr>
        <w:t>Use the exact term, then make it legible.</w:t>
      </w:r>
    </w:p>
    <w:p>
      <w:pPr>
        <w:spacing w:after="180"/>
      </w:pPr>
      <w:r>
        <w:rPr>
          <w:rFonts w:ascii="Liberation Sans" w:hAnsi="Liberation Sans"/>
          <w:b/>
          <w:i w:val="0"/>
          <w:color w:val="0B1F2A"/>
          <w:sz w:val="24"/>
        </w:rPr>
        <w:t>Curious</w:t>
      </w:r>
      <w:r>
        <w:rPr>
          <w:rFonts w:ascii="Liberation Sans" w:hAnsi="Liberation Sans"/>
          <w:b/>
          <w:i w:val="0"/>
          <w:color w:val="2F7F78"/>
          <w:sz w:val="21"/>
        </w:rPr>
        <w:t xml:space="preserve"> — not omniscient. </w:t>
      </w:r>
      <w:r>
        <w:rPr>
          <w:rFonts w:ascii="Liberation Sans" w:hAnsi="Liberation Sans"/>
          <w:b w:val="0"/>
          <w:i w:val="0"/>
          <w:color w:val="0B1F2A"/>
          <w:sz w:val="21"/>
        </w:rPr>
        <w:t>Ask the review question that unlocks understanding.</w:t>
      </w:r>
    </w:p>
    <w:p>
      <w:pPr>
        <w:spacing w:after="180"/>
      </w:pPr>
      <w:r>
        <w:rPr>
          <w:rFonts w:ascii="Liberation Sans" w:hAnsi="Liberation Sans"/>
          <w:b/>
          <w:i w:val="0"/>
          <w:color w:val="0B1F2A"/>
          <w:sz w:val="24"/>
        </w:rPr>
        <w:t>Systemic</w:t>
      </w:r>
      <w:r>
        <w:rPr>
          <w:rFonts w:ascii="Liberation Sans" w:hAnsi="Liberation Sans"/>
          <w:b/>
          <w:i w:val="0"/>
          <w:color w:val="2F7F78"/>
          <w:sz w:val="21"/>
        </w:rPr>
        <w:t xml:space="preserve"> — not reductive. </w:t>
      </w:r>
      <w:r>
        <w:rPr>
          <w:rFonts w:ascii="Liberation Sans" w:hAnsi="Liberation Sans"/>
          <w:b w:val="0"/>
          <w:i w:val="0"/>
          <w:color w:val="0B1F2A"/>
          <w:sz w:val="21"/>
        </w:rPr>
        <w:t>Connect local edits to architecture and trajectory.</w:t>
      </w:r>
    </w:p>
    <w:p>
      <w:pPr>
        <w:pStyle w:val="Heading1"/>
        <w:keepNext/>
      </w:pPr>
      <w:r>
        <w:t>The emotional outcome</w:t>
      </w:r>
    </w:p>
    <w:p>
      <w:pPr>
        <w:spacing w:after="120" w:line="300" w:lineRule="auto"/>
      </w:pPr>
      <w:r>
        <w:rPr>
          <w:rFonts w:ascii="Liberation Sans" w:hAnsi="Liberation Sans"/>
          <w:b/>
          <w:i w:val="0"/>
          <w:color w:val="0B1F2A"/>
          <w:sz w:val="24"/>
        </w:rPr>
        <w:t>The reviewer should feel oriented—not dazzled. The product turns “I need to load this whole system into my head” into “I can see the shape, the history, and the consequence of this change.”</w:t>
      </w:r>
    </w:p>
    <w:p>
      <w:r>
        <w:br w:type="page"/>
      </w:r>
    </w:p>
    <w:p>
      <w:pPr>
        <w:spacing w:before="160" w:after="120"/>
      </w:pPr>
      <w:r>
        <w:rPr>
          <w:rFonts w:ascii="Liberation Sans" w:hAnsi="Liberation Sans"/>
          <w:b/>
          <w:i w:val="0"/>
          <w:color w:val="2F7F78"/>
          <w:sz w:val="17"/>
        </w:rPr>
        <w:t>05 / VOICE</w:t>
      </w:r>
    </w:p>
    <w:p>
      <w:pPr>
        <w:spacing w:after="160"/>
      </w:pPr>
      <w:r>
        <w:rPr>
          <w:rFonts w:ascii="Liberation Sans" w:hAnsi="Liberation Sans"/>
          <w:b/>
          <w:i w:val="0"/>
          <w:color w:val="0B1F2A"/>
          <w:sz w:val="48"/>
        </w:rPr>
        <w:t>Write like a staff engineer orienting a peer</w:t>
      </w:r>
    </w:p>
    <w:p>
      <w:pPr>
        <w:pStyle w:val="Heading1"/>
        <w:keepNext/>
      </w:pPr>
      <w:r>
        <w:t>Voice principles</w:t>
      </w:r>
    </w:p>
    <w:p>
      <w:pPr>
        <w:pStyle w:val="ListBullet"/>
        <w:spacing w:after="80" w:line="300" w:lineRule="auto"/>
      </w:pPr>
      <w:r>
        <w:rPr>
          <w:rFonts w:ascii="Liberation Sans" w:hAnsi="Liberation Sans"/>
          <w:b w:val="0"/>
          <w:i w:val="0"/>
          <w:color w:val="0B1F2A"/>
          <w:sz w:val="20"/>
        </w:rPr>
        <w:t>Lead with the system-level consequence, then show evidence.</w:t>
      </w:r>
    </w:p>
    <w:p>
      <w:pPr>
        <w:pStyle w:val="ListBullet"/>
        <w:spacing w:after="80" w:line="300" w:lineRule="auto"/>
      </w:pPr>
      <w:r>
        <w:rPr>
          <w:rFonts w:ascii="Liberation Sans" w:hAnsi="Liberation Sans"/>
          <w:b w:val="0"/>
          <w:i w:val="0"/>
          <w:color w:val="0B1F2A"/>
          <w:sz w:val="20"/>
        </w:rPr>
        <w:t>Prefer active verbs and concrete nouns.</w:t>
      </w:r>
    </w:p>
    <w:p>
      <w:pPr>
        <w:pStyle w:val="ListBullet"/>
        <w:spacing w:after="80" w:line="300" w:lineRule="auto"/>
      </w:pPr>
      <w:r>
        <w:rPr>
          <w:rFonts w:ascii="Liberation Sans" w:hAnsi="Liberation Sans"/>
          <w:b w:val="0"/>
          <w:i w:val="0"/>
          <w:color w:val="0B1F2A"/>
          <w:sz w:val="20"/>
        </w:rPr>
        <w:t>Separate observation, inference, and question.</w:t>
      </w:r>
    </w:p>
    <w:p>
      <w:pPr>
        <w:pStyle w:val="ListBullet"/>
        <w:spacing w:after="80" w:line="300" w:lineRule="auto"/>
      </w:pPr>
      <w:r>
        <w:rPr>
          <w:rFonts w:ascii="Liberation Sans" w:hAnsi="Liberation Sans"/>
          <w:b w:val="0"/>
          <w:i w:val="0"/>
          <w:color w:val="0B1F2A"/>
          <w:sz w:val="20"/>
        </w:rPr>
        <w:t>Name the before state and after state when discussing change.</w:t>
      </w:r>
    </w:p>
    <w:p>
      <w:pPr>
        <w:pStyle w:val="ListBullet"/>
        <w:spacing w:after="80" w:line="300" w:lineRule="auto"/>
      </w:pPr>
      <w:r>
        <w:rPr>
          <w:rFonts w:ascii="Liberation Sans" w:hAnsi="Liberation Sans"/>
          <w:b w:val="0"/>
          <w:i w:val="0"/>
          <w:color w:val="0B1F2A"/>
          <w:sz w:val="20"/>
        </w:rPr>
        <w:t>Use confidence proportionate to the evidence.</w:t>
      </w:r>
    </w:p>
    <w:p>
      <w:pPr>
        <w:pStyle w:val="Heading1"/>
        <w:keepNext/>
      </w:pPr>
      <w:r>
        <w:t>Say / avoid</w:t>
      </w:r>
    </w:p>
    <w:tbl>
      <w:tblPr>
        <w:tblStyle w:val="TableGrid"/>
        <w:tblW w:type="dxa" w:w="9360"/>
        <w:tblLayout w:type="fixed"/>
        <w:tblLook w:firstColumn="1" w:firstRow="1" w:lastColumn="0" w:lastRow="0" w:noHBand="0" w:noVBand="1" w:val="04A0"/>
      </w:tblPr>
      <w:tblGrid>
        <w:gridCol w:w="4680"/>
        <w:gridCol w:w="4680"/>
      </w:tblGrid>
      <w:tr>
        <w:trPr>
          <w:tblHeader w:val="true"/>
        </w:trPr>
        <w:tc>
          <w:tcPr>
            <w:tcW w:type="dxa" w:w="4680"/>
            <w:tcMar>
              <w:top w:w="120" w:type="dxa"/>
              <w:start w:w="140" w:type="dxa"/>
              <w:bottom w:w="120" w:type="dxa"/>
              <w:end w:w="140" w:type="dxa"/>
            </w:tcMar>
            <w:vAlign w:val="center"/>
            <w:shd w:fill="0B1F2A"/>
          </w:tcPr>
          <w:p>
            <w:r>
              <w:rPr>
                <w:rFonts w:ascii="Liberation Sans" w:hAnsi="Liberation Sans"/>
                <w:b/>
                <w:i w:val="0"/>
                <w:color w:val="FFFFFF"/>
                <w:sz w:val="19"/>
              </w:rPr>
              <w:t>Say</w:t>
            </w:r>
          </w:p>
        </w:tc>
        <w:tc>
          <w:tcPr>
            <w:tcW w:type="dxa" w:w="4680"/>
            <w:tcMar>
              <w:top w:w="120" w:type="dxa"/>
              <w:start w:w="140" w:type="dxa"/>
              <w:bottom w:w="120" w:type="dxa"/>
              <w:end w:w="140" w:type="dxa"/>
            </w:tcMar>
            <w:vAlign w:val="center"/>
            <w:shd w:fill="0B1F2A"/>
          </w:tcPr>
          <w:p>
            <w:r>
              <w:rPr>
                <w:rFonts w:ascii="Liberation Sans" w:hAnsi="Liberation Sans"/>
                <w:b/>
                <w:i w:val="0"/>
                <w:color w:val="FFFFFF"/>
                <w:sz w:val="19"/>
              </w:rPr>
              <w:t>Avoid</w:t>
            </w:r>
          </w:p>
        </w:tc>
      </w:tr>
      <w:tr>
        <w:tc>
          <w:tcPr>
            <w:tcW w:type="dxa" w:w="4680"/>
            <w:tcMar>
              <w:top w:w="120" w:type="dxa"/>
              <w:start w:w="140" w:type="dxa"/>
              <w:bottom w:w="120" w:type="dxa"/>
              <w:end w:w="140" w:type="dxa"/>
            </w:tcMar>
            <w:vAlign w:val="center"/>
          </w:tcPr>
          <w:p>
            <w:r>
              <w:rPr>
                <w:rFonts w:ascii="Liberation Sans" w:hAnsi="Liberation Sans"/>
                <w:b w:val="0"/>
                <w:i w:val="0"/>
                <w:color w:val="0B1F2A"/>
                <w:sz w:val="18"/>
              </w:rPr>
              <w:t>This introduces SessionStore between AuthService and persistence.</w:t>
            </w:r>
          </w:p>
        </w:tc>
        <w:tc>
          <w:tcPr>
            <w:tcW w:type="dxa" w:w="4680"/>
            <w:tcMar>
              <w:top w:w="120" w:type="dxa"/>
              <w:start w:w="140" w:type="dxa"/>
              <w:bottom w:w="120" w:type="dxa"/>
              <w:end w:w="140" w:type="dxa"/>
            </w:tcMar>
            <w:vAlign w:val="center"/>
          </w:tcPr>
          <w:p>
            <w:r>
              <w:rPr>
                <w:rFonts w:ascii="Liberation Sans" w:hAnsi="Liberation Sans"/>
                <w:b w:val="0"/>
                <w:i w:val="0"/>
                <w:color w:val="607680"/>
                <w:sz w:val="18"/>
              </w:rPr>
              <w:t>The AI detected a significant architectural modification.</w:t>
            </w:r>
          </w:p>
        </w:tc>
      </w:tr>
      <w:tr>
        <w:tc>
          <w:tcPr>
            <w:tcW w:type="dxa" w:w="4680"/>
            <w:tcMar>
              <w:top w:w="120" w:type="dxa"/>
              <w:start w:w="140" w:type="dxa"/>
              <w:bottom w:w="120" w:type="dxa"/>
              <w:end w:w="140" w:type="dxa"/>
            </w:tcMar>
            <w:vAlign w:val="center"/>
          </w:tcPr>
          <w:p>
            <w:r>
              <w:rPr>
                <w:rFonts w:ascii="Liberation Sans" w:hAnsi="Liberation Sans"/>
                <w:b w:val="0"/>
                <w:i w:val="0"/>
                <w:color w:val="0B1F2A"/>
                <w:sz w:val="18"/>
              </w:rPr>
              <w:t>Observed in code; inferred impact; question for review.</w:t>
            </w:r>
          </w:p>
        </w:tc>
        <w:tc>
          <w:tcPr>
            <w:tcW w:type="dxa" w:w="4680"/>
            <w:tcMar>
              <w:top w:w="120" w:type="dxa"/>
              <w:start w:w="140" w:type="dxa"/>
              <w:bottom w:w="120" w:type="dxa"/>
              <w:end w:w="140" w:type="dxa"/>
            </w:tcMar>
            <w:vAlign w:val="center"/>
          </w:tcPr>
          <w:p>
            <w:r>
              <w:rPr>
                <w:rFonts w:ascii="Liberation Sans" w:hAnsi="Liberation Sans"/>
                <w:b w:val="0"/>
                <w:i w:val="0"/>
                <w:color w:val="607680"/>
                <w:sz w:val="18"/>
              </w:rPr>
              <w:t>This is definitely a bug.</w:t>
            </w:r>
          </w:p>
        </w:tc>
      </w:tr>
      <w:tr>
        <w:tc>
          <w:tcPr>
            <w:tcW w:type="dxa" w:w="4680"/>
            <w:tcMar>
              <w:top w:w="120" w:type="dxa"/>
              <w:start w:w="140" w:type="dxa"/>
              <w:bottom w:w="120" w:type="dxa"/>
              <w:end w:w="140" w:type="dxa"/>
            </w:tcMar>
            <w:vAlign w:val="center"/>
          </w:tcPr>
          <w:p>
            <w:r>
              <w:rPr>
                <w:rFonts w:ascii="Liberation Sans" w:hAnsi="Liberation Sans"/>
                <w:b w:val="0"/>
                <w:i w:val="0"/>
                <w:color w:val="0B1F2A"/>
                <w:sz w:val="18"/>
              </w:rPr>
              <w:t>This route has no consumers in the current stack.</w:t>
            </w:r>
          </w:p>
        </w:tc>
        <w:tc>
          <w:tcPr>
            <w:tcW w:type="dxa" w:w="4680"/>
            <w:tcMar>
              <w:top w:w="120" w:type="dxa"/>
              <w:start w:w="140" w:type="dxa"/>
              <w:bottom w:w="120" w:type="dxa"/>
              <w:end w:w="140" w:type="dxa"/>
            </w:tcMar>
            <w:vAlign w:val="center"/>
          </w:tcPr>
          <w:p>
            <w:r>
              <w:rPr>
                <w:rFonts w:ascii="Liberation Sans" w:hAnsi="Liberation Sans"/>
                <w:b w:val="0"/>
                <w:i w:val="0"/>
                <w:color w:val="607680"/>
                <w:sz w:val="18"/>
              </w:rPr>
              <w:t>Unused code found.</w:t>
            </w:r>
          </w:p>
        </w:tc>
      </w:tr>
      <w:tr>
        <w:tc>
          <w:tcPr>
            <w:tcW w:type="dxa" w:w="4680"/>
            <w:tcMar>
              <w:top w:w="120" w:type="dxa"/>
              <w:start w:w="140" w:type="dxa"/>
              <w:bottom w:w="120" w:type="dxa"/>
              <w:end w:w="140" w:type="dxa"/>
            </w:tcMar>
            <w:vAlign w:val="center"/>
          </w:tcPr>
          <w:p>
            <w:r>
              <w:rPr>
                <w:rFonts w:ascii="Liberation Sans" w:hAnsi="Liberation Sans"/>
                <w:b w:val="0"/>
                <w:i w:val="0"/>
                <w:color w:val="0B1F2A"/>
                <w:sz w:val="18"/>
              </w:rPr>
              <w:t>What happens if persistence succeeds but invalidation fails?</w:t>
            </w:r>
          </w:p>
        </w:tc>
        <w:tc>
          <w:tcPr>
            <w:tcW w:type="dxa" w:w="4680"/>
            <w:tcMar>
              <w:top w:w="120" w:type="dxa"/>
              <w:start w:w="140" w:type="dxa"/>
              <w:bottom w:w="120" w:type="dxa"/>
              <w:end w:w="140" w:type="dxa"/>
            </w:tcMar>
            <w:vAlign w:val="center"/>
          </w:tcPr>
          <w:p>
            <w:r>
              <w:rPr>
                <w:rFonts w:ascii="Liberation Sans" w:hAnsi="Liberation Sans"/>
                <w:b w:val="0"/>
                <w:i w:val="0"/>
                <w:color w:val="607680"/>
                <w:sz w:val="18"/>
              </w:rPr>
              <w:t>Potential race condition issue.</w:t>
            </w:r>
          </w:p>
        </w:tc>
      </w:tr>
    </w:tbl>
    <w:p>
      <w:r>
        <w:br w:type="page"/>
      </w:r>
    </w:p>
    <w:p>
      <w:pPr>
        <w:spacing w:before="160" w:after="120"/>
      </w:pPr>
      <w:r>
        <w:rPr>
          <w:rFonts w:ascii="Liberation Sans" w:hAnsi="Liberation Sans"/>
          <w:b/>
          <w:i w:val="0"/>
          <w:color w:val="2F7F78"/>
          <w:sz w:val="17"/>
        </w:rPr>
        <w:t>06 / VISUAL IDEA</w:t>
      </w:r>
    </w:p>
    <w:p>
      <w:pPr>
        <w:spacing w:after="160"/>
      </w:pPr>
      <w:r>
        <w:rPr>
          <w:rFonts w:ascii="Liberation Sans" w:hAnsi="Liberation Sans"/>
          <w:b/>
          <w:i w:val="0"/>
          <w:color w:val="0B1F2A"/>
          <w:sz w:val="48"/>
        </w:rPr>
        <w:t>The living topology</w:t>
      </w:r>
    </w:p>
    <w:p>
      <w:pPr>
        <w:spacing w:after="280" w:line="300" w:lineRule="auto"/>
      </w:pPr>
      <w:r>
        <w:rPr>
          <w:rFonts w:ascii="Liberation Sans" w:hAnsi="Liberation Sans"/>
          <w:b w:val="0"/>
          <w:i w:val="0"/>
          <w:color w:val="607680"/>
          <w:sz w:val="24"/>
        </w:rPr>
        <w:t>Stable structure, traced history, and one semantic transition under examination.</w:t>
      </w:r>
    </w:p>
    <w:p>
      <w:pPr>
        <w:jc w:val="center"/>
      </w:pPr>
      <w:r>
        <w:drawing>
          <wp:inline xmlns:a="http://schemas.openxmlformats.org/drawingml/2006/main" xmlns:pic="http://schemas.openxmlformats.org/drawingml/2006/picture">
            <wp:extent cx="2011680" cy="2011680"/>
            <wp:docPr id="2" name="Picture 2" descr="Know the Map K-route symbol showing repository history, architecture branches, and the focal change node." title="Know the Map K-route symbol showing repository history, architecture branches, and the focal change node."/>
            <wp:cNvGraphicFramePr>
              <a:graphicFrameLocks noChangeAspect="1"/>
            </wp:cNvGraphicFramePr>
            <a:graphic>
              <a:graphicData uri="http://schemas.openxmlformats.org/drawingml/2006/picture">
                <pic:pic>
                  <pic:nvPicPr>
                    <pic:cNvPr id="0" name="ktm-symbol-primary.png"/>
                    <pic:cNvPicPr/>
                  </pic:nvPicPr>
                  <pic:blipFill>
                    <a:blip r:embed="rId11"/>
                    <a:stretch>
                      <a:fillRect/>
                    </a:stretch>
                  </pic:blipFill>
                  <pic:spPr>
                    <a:xfrm>
                      <a:off x="0" y="0"/>
                      <a:ext cx="2011680" cy="2011680"/>
                    </a:xfrm>
                    <a:prstGeom prst="rect"/>
                  </pic:spPr>
                </pic:pic>
              </a:graphicData>
            </a:graphic>
          </wp:inline>
        </w:drawing>
      </w:r>
    </w:p>
    <w:p>
      <w:pPr>
        <w:pStyle w:val="Heading1"/>
        <w:keepNext/>
      </w:pPr>
      <w:r>
        <w:t>The K-route</w:t>
      </w:r>
    </w:p>
    <w:p>
      <w:pPr>
        <w:spacing w:after="120" w:line="300" w:lineRule="auto"/>
      </w:pPr>
      <w:r>
        <w:rPr>
          <w:rFonts w:ascii="Liberation Sans" w:hAnsi="Liberation Sans"/>
          <w:b w:val="0"/>
          <w:i w:val="0"/>
          <w:color w:val="0B1F2A"/>
          <w:sz w:val="21"/>
        </w:rPr>
        <w:t>The vertical spine suggests repository history. The branches suggest architecture and affected flows. The center node is the change being understood. The geometry is intentionally compact: a map you can hold in your head.</w:t>
      </w:r>
    </w:p>
    <w:p>
      <w:pPr>
        <w:pStyle w:val="Heading2"/>
        <w:keepNext/>
      </w:pPr>
      <w:r>
        <w:t>The Signal rule</w:t>
      </w:r>
    </w:p>
    <w:p>
      <w:pPr>
        <w:spacing w:after="120" w:line="300" w:lineRule="auto"/>
      </w:pPr>
      <w:r>
        <w:rPr>
          <w:rFonts w:ascii="Liberation Sans" w:hAnsi="Liberation Sans"/>
          <w:b w:val="0"/>
          <w:i w:val="0"/>
          <w:color w:val="0B1F2A"/>
          <w:sz w:val="21"/>
        </w:rPr>
        <w:t>Signal Lime is semantic, never decorative. It marks exactly one of three things: the change, the current point in time, or the reviewer’s active focus. Highlighting everything means understanding nothing.</w:t>
      </w:r>
    </w:p>
    <w:p>
      <w:r>
        <w:br w:type="page"/>
      </w:r>
    </w:p>
    <w:p>
      <w:pPr>
        <w:spacing w:before="160" w:after="120"/>
      </w:pPr>
      <w:r>
        <w:rPr>
          <w:rFonts w:ascii="Liberation Sans" w:hAnsi="Liberation Sans"/>
          <w:b/>
          <w:i w:val="0"/>
          <w:color w:val="2F7F78"/>
          <w:sz w:val="17"/>
        </w:rPr>
        <w:t>07 / COLOR</w:t>
      </w:r>
    </w:p>
    <w:p>
      <w:pPr>
        <w:spacing w:after="160"/>
      </w:pPr>
      <w:r>
        <w:rPr>
          <w:rFonts w:ascii="Liberation Sans" w:hAnsi="Liberation Sans"/>
          <w:b/>
          <w:i w:val="0"/>
          <w:color w:val="0B1F2A"/>
          <w:sz w:val="48"/>
        </w:rPr>
        <w:t>Depth, structure, and focus</w:t>
      </w:r>
    </w:p>
    <w:tbl>
      <w:tblPr>
        <w:tblW w:type="dxa" w:w="9360"/>
        <w:tblLayout w:type="fixed"/>
        <w:tblLook w:firstColumn="1" w:firstRow="1" w:lastColumn="0" w:lastRow="0" w:noHBand="0" w:noVBand="1" w:val="04A0"/>
      </w:tblPr>
      <w:tblGrid>
        <w:gridCol w:w="3120"/>
        <w:gridCol w:w="3120"/>
        <w:gridCol w:w="3120"/>
      </w:tblGrid>
      <w:tr>
        <w:trPr>
          <w:tblHeader w:val="true"/>
        </w:trPr>
        <w:tc>
          <w:tcPr>
            <w:tcW w:type="dxa" w:w="2016"/>
            <w:tcMar>
              <w:top w:w="120" w:type="dxa"/>
              <w:start w:w="140" w:type="dxa"/>
              <w:bottom w:w="120" w:type="dxa"/>
              <w:end w:w="140" w:type="dxa"/>
            </w:tcMar>
            <w:vAlign w:val="center"/>
            <w:shd w:fill="0B1F2A"/>
          </w:tcPr>
          <w:p>
            <w:r>
              <w:rPr>
                <w:rFonts w:ascii="Liberation Sans" w:hAnsi="Liberation Sans"/>
                <w:b/>
                <w:i w:val="0"/>
                <w:color w:val="FFFFFF"/>
                <w:sz w:val="18"/>
              </w:rPr>
              <w:t>Color</w:t>
            </w:r>
          </w:p>
        </w:tc>
        <w:tc>
          <w:tcPr>
            <w:tcW w:type="dxa" w:w="1584"/>
            <w:tcMar>
              <w:top w:w="120" w:type="dxa"/>
              <w:start w:w="140" w:type="dxa"/>
              <w:bottom w:w="120" w:type="dxa"/>
              <w:end w:w="140" w:type="dxa"/>
            </w:tcMar>
            <w:vAlign w:val="center"/>
            <w:shd w:fill="0B1F2A"/>
          </w:tcPr>
          <w:p>
            <w:r>
              <w:rPr>
                <w:rFonts w:ascii="Liberation Sans" w:hAnsi="Liberation Sans"/>
                <w:b/>
                <w:i w:val="0"/>
                <w:color w:val="FFFFFF"/>
                <w:sz w:val="18"/>
              </w:rPr>
              <w:t>Hex</w:t>
            </w:r>
          </w:p>
        </w:tc>
        <w:tc>
          <w:tcPr>
            <w:tcW w:type="dxa" w:w="5760"/>
            <w:tcMar>
              <w:top w:w="120" w:type="dxa"/>
              <w:start w:w="140" w:type="dxa"/>
              <w:bottom w:w="120" w:type="dxa"/>
              <w:end w:w="140" w:type="dxa"/>
            </w:tcMar>
            <w:vAlign w:val="center"/>
            <w:shd w:fill="0B1F2A"/>
          </w:tcPr>
          <w:p>
            <w:r>
              <w:rPr>
                <w:rFonts w:ascii="Liberation Sans" w:hAnsi="Liberation Sans"/>
                <w:b/>
                <w:i w:val="0"/>
                <w:color w:val="FFFFFF"/>
                <w:sz w:val="18"/>
              </w:rPr>
              <w:t>Role</w:t>
            </w:r>
          </w:p>
        </w:tc>
      </w:tr>
      <w:tr>
        <w:tc>
          <w:tcPr>
            <w:tcW w:type="dxa" w:w="2016"/>
            <w:tcMar>
              <w:top w:w="120" w:type="dxa"/>
              <w:start w:w="140" w:type="dxa"/>
              <w:bottom w:w="120" w:type="dxa"/>
              <w:end w:w="140" w:type="dxa"/>
            </w:tcMar>
            <w:vAlign w:val="center"/>
            <w:shd w:fill="0B1F2A"/>
          </w:tcPr>
          <w:p>
            <w:r>
              <w:rPr>
                <w:rFonts w:ascii="Liberation Sans" w:hAnsi="Liberation Sans"/>
                <w:b/>
                <w:i w:val="0"/>
                <w:color w:val="FFFFFF"/>
                <w:sz w:val="19"/>
              </w:rPr>
              <w:t>Deep Ink</w:t>
            </w:r>
          </w:p>
        </w:tc>
        <w:tc>
          <w:tcPr>
            <w:tcW w:type="dxa" w:w="1584"/>
            <w:tcMar>
              <w:top w:w="120" w:type="dxa"/>
              <w:start w:w="140" w:type="dxa"/>
              <w:bottom w:w="120" w:type="dxa"/>
              <w:end w:w="140" w:type="dxa"/>
            </w:tcMar>
            <w:vAlign w:val="center"/>
          </w:tcPr>
          <w:p>
            <w:r>
              <w:rPr>
                <w:rFonts w:ascii="JetBrainsMono Nerd Font" w:hAnsi="JetBrainsMono Nerd Font"/>
                <w:b/>
                <w:i w:val="0"/>
                <w:color w:val="0B1F2A"/>
                <w:sz w:val="18"/>
              </w:rPr>
              <w:t>#0B1F2A</w:t>
            </w:r>
          </w:p>
        </w:tc>
        <w:tc>
          <w:tcPr>
            <w:tcW w:type="dxa" w:w="5760"/>
            <w:tcMar>
              <w:top w:w="120" w:type="dxa"/>
              <w:start w:w="140" w:type="dxa"/>
              <w:bottom w:w="120" w:type="dxa"/>
              <w:end w:w="140" w:type="dxa"/>
            </w:tcMar>
            <w:vAlign w:val="center"/>
          </w:tcPr>
          <w:p>
            <w:r>
              <w:rPr>
                <w:rFonts w:ascii="Liberation Sans" w:hAnsi="Liberation Sans"/>
                <w:b w:val="0"/>
                <w:i w:val="0"/>
                <w:color w:val="0B1F2A"/>
                <w:sz w:val="18"/>
              </w:rPr>
              <w:t>Primary field; authority and depth</w:t>
            </w:r>
          </w:p>
        </w:tc>
      </w:tr>
      <w:tr>
        <w:tc>
          <w:tcPr>
            <w:tcW w:type="dxa" w:w="2016"/>
            <w:tcMar>
              <w:top w:w="120" w:type="dxa"/>
              <w:start w:w="140" w:type="dxa"/>
              <w:bottom w:w="120" w:type="dxa"/>
              <w:end w:w="140" w:type="dxa"/>
            </w:tcMar>
            <w:vAlign w:val="center"/>
            <w:shd w:fill="F5F1E8"/>
          </w:tcPr>
          <w:p>
            <w:r>
              <w:rPr>
                <w:rFonts w:ascii="Liberation Sans" w:hAnsi="Liberation Sans"/>
                <w:b/>
                <w:i w:val="0"/>
                <w:color w:val="0B1F2A"/>
                <w:sz w:val="19"/>
              </w:rPr>
              <w:t>Paper</w:t>
            </w:r>
          </w:p>
        </w:tc>
        <w:tc>
          <w:tcPr>
            <w:tcW w:type="dxa" w:w="1584"/>
            <w:tcMar>
              <w:top w:w="120" w:type="dxa"/>
              <w:start w:w="140" w:type="dxa"/>
              <w:bottom w:w="120" w:type="dxa"/>
              <w:end w:w="140" w:type="dxa"/>
            </w:tcMar>
            <w:vAlign w:val="center"/>
          </w:tcPr>
          <w:p>
            <w:r>
              <w:rPr>
                <w:rFonts w:ascii="JetBrainsMono Nerd Font" w:hAnsi="JetBrainsMono Nerd Font"/>
                <w:b/>
                <w:i w:val="0"/>
                <w:color w:val="0B1F2A"/>
                <w:sz w:val="18"/>
              </w:rPr>
              <w:t>#F5F1E8</w:t>
            </w:r>
          </w:p>
        </w:tc>
        <w:tc>
          <w:tcPr>
            <w:tcW w:type="dxa" w:w="5760"/>
            <w:tcMar>
              <w:top w:w="120" w:type="dxa"/>
              <w:start w:w="140" w:type="dxa"/>
              <w:bottom w:w="120" w:type="dxa"/>
              <w:end w:w="140" w:type="dxa"/>
            </w:tcMar>
            <w:vAlign w:val="center"/>
          </w:tcPr>
          <w:p>
            <w:r>
              <w:rPr>
                <w:rFonts w:ascii="Liberation Sans" w:hAnsi="Liberation Sans"/>
                <w:b w:val="0"/>
                <w:i w:val="0"/>
                <w:color w:val="0B1F2A"/>
                <w:sz w:val="18"/>
              </w:rPr>
              <w:t>Warm reading surface</w:t>
            </w:r>
          </w:p>
        </w:tc>
      </w:tr>
      <w:tr>
        <w:tc>
          <w:tcPr>
            <w:tcW w:type="dxa" w:w="2016"/>
            <w:tcMar>
              <w:top w:w="120" w:type="dxa"/>
              <w:start w:w="140" w:type="dxa"/>
              <w:bottom w:w="120" w:type="dxa"/>
              <w:end w:w="140" w:type="dxa"/>
            </w:tcMar>
            <w:vAlign w:val="center"/>
            <w:shd w:fill="2F7F78"/>
          </w:tcPr>
          <w:p>
            <w:r>
              <w:rPr>
                <w:rFonts w:ascii="Liberation Sans" w:hAnsi="Liberation Sans"/>
                <w:b/>
                <w:i w:val="0"/>
                <w:color w:val="FFFFFF"/>
                <w:sz w:val="19"/>
              </w:rPr>
              <w:t>Mineral</w:t>
            </w:r>
          </w:p>
        </w:tc>
        <w:tc>
          <w:tcPr>
            <w:tcW w:type="dxa" w:w="1584"/>
            <w:tcMar>
              <w:top w:w="120" w:type="dxa"/>
              <w:start w:w="140" w:type="dxa"/>
              <w:bottom w:w="120" w:type="dxa"/>
              <w:end w:w="140" w:type="dxa"/>
            </w:tcMar>
            <w:vAlign w:val="center"/>
          </w:tcPr>
          <w:p>
            <w:r>
              <w:rPr>
                <w:rFonts w:ascii="JetBrainsMono Nerd Font" w:hAnsi="JetBrainsMono Nerd Font"/>
                <w:b/>
                <w:i w:val="0"/>
                <w:color w:val="0B1F2A"/>
                <w:sz w:val="18"/>
              </w:rPr>
              <w:t>#2F7F78</w:t>
            </w:r>
          </w:p>
        </w:tc>
        <w:tc>
          <w:tcPr>
            <w:tcW w:type="dxa" w:w="5760"/>
            <w:tcMar>
              <w:top w:w="120" w:type="dxa"/>
              <w:start w:w="140" w:type="dxa"/>
              <w:bottom w:w="120" w:type="dxa"/>
              <w:end w:w="140" w:type="dxa"/>
            </w:tcMar>
            <w:vAlign w:val="center"/>
          </w:tcPr>
          <w:p>
            <w:r>
              <w:rPr>
                <w:rFonts w:ascii="Liberation Sans" w:hAnsi="Liberation Sans"/>
                <w:b w:val="0"/>
                <w:i w:val="0"/>
                <w:color w:val="0B1F2A"/>
                <w:sz w:val="18"/>
              </w:rPr>
              <w:t>Routes and secondary emphasis</w:t>
            </w:r>
          </w:p>
        </w:tc>
      </w:tr>
      <w:tr>
        <w:tc>
          <w:tcPr>
            <w:tcW w:type="dxa" w:w="2016"/>
            <w:tcMar>
              <w:top w:w="120" w:type="dxa"/>
              <w:start w:w="140" w:type="dxa"/>
              <w:bottom w:w="120" w:type="dxa"/>
              <w:end w:w="140" w:type="dxa"/>
            </w:tcMar>
            <w:vAlign w:val="center"/>
            <w:shd w:fill="C7F23D"/>
          </w:tcPr>
          <w:p>
            <w:r>
              <w:rPr>
                <w:rFonts w:ascii="Liberation Sans" w:hAnsi="Liberation Sans"/>
                <w:b/>
                <w:i w:val="0"/>
                <w:color w:val="0B1F2A"/>
                <w:sz w:val="19"/>
              </w:rPr>
              <w:t>Signal</w:t>
            </w:r>
          </w:p>
        </w:tc>
        <w:tc>
          <w:tcPr>
            <w:tcW w:type="dxa" w:w="1584"/>
            <w:tcMar>
              <w:top w:w="120" w:type="dxa"/>
              <w:start w:w="140" w:type="dxa"/>
              <w:bottom w:w="120" w:type="dxa"/>
              <w:end w:w="140" w:type="dxa"/>
            </w:tcMar>
            <w:vAlign w:val="center"/>
          </w:tcPr>
          <w:p>
            <w:r>
              <w:rPr>
                <w:rFonts w:ascii="JetBrainsMono Nerd Font" w:hAnsi="JetBrainsMono Nerd Font"/>
                <w:b/>
                <w:i w:val="0"/>
                <w:color w:val="0B1F2A"/>
                <w:sz w:val="18"/>
              </w:rPr>
              <w:t>#C7F23D</w:t>
            </w:r>
          </w:p>
        </w:tc>
        <w:tc>
          <w:tcPr>
            <w:tcW w:type="dxa" w:w="5760"/>
            <w:tcMar>
              <w:top w:w="120" w:type="dxa"/>
              <w:start w:w="140" w:type="dxa"/>
              <w:bottom w:w="120" w:type="dxa"/>
              <w:end w:w="140" w:type="dxa"/>
            </w:tcMar>
            <w:vAlign w:val="center"/>
          </w:tcPr>
          <w:p>
            <w:r>
              <w:rPr>
                <w:rFonts w:ascii="Liberation Sans" w:hAnsi="Liberation Sans"/>
                <w:b w:val="0"/>
                <w:i w:val="0"/>
                <w:color w:val="0B1F2A"/>
                <w:sz w:val="18"/>
              </w:rPr>
              <w:t>One change or focus only</w:t>
            </w:r>
          </w:p>
        </w:tc>
      </w:tr>
      <w:tr>
        <w:tc>
          <w:tcPr>
            <w:tcW w:type="dxa" w:w="2016"/>
            <w:tcMar>
              <w:top w:w="120" w:type="dxa"/>
              <w:start w:w="140" w:type="dxa"/>
              <w:bottom w:w="120" w:type="dxa"/>
              <w:end w:w="140" w:type="dxa"/>
            </w:tcMar>
            <w:vAlign w:val="center"/>
            <w:shd w:fill="607680"/>
          </w:tcPr>
          <w:p>
            <w:r>
              <w:rPr>
                <w:rFonts w:ascii="Liberation Sans" w:hAnsi="Liberation Sans"/>
                <w:b/>
                <w:i w:val="0"/>
                <w:color w:val="FFFFFF"/>
                <w:sz w:val="19"/>
              </w:rPr>
              <w:t>Slate</w:t>
            </w:r>
          </w:p>
        </w:tc>
        <w:tc>
          <w:tcPr>
            <w:tcW w:type="dxa" w:w="1584"/>
            <w:tcMar>
              <w:top w:w="120" w:type="dxa"/>
              <w:start w:w="140" w:type="dxa"/>
              <w:bottom w:w="120" w:type="dxa"/>
              <w:end w:w="140" w:type="dxa"/>
            </w:tcMar>
            <w:vAlign w:val="center"/>
          </w:tcPr>
          <w:p>
            <w:r>
              <w:rPr>
                <w:rFonts w:ascii="JetBrainsMono Nerd Font" w:hAnsi="JetBrainsMono Nerd Font"/>
                <w:b/>
                <w:i w:val="0"/>
                <w:color w:val="0B1F2A"/>
                <w:sz w:val="18"/>
              </w:rPr>
              <w:t>#607680</w:t>
            </w:r>
          </w:p>
        </w:tc>
        <w:tc>
          <w:tcPr>
            <w:tcW w:type="dxa" w:w="5760"/>
            <w:tcMar>
              <w:top w:w="120" w:type="dxa"/>
              <w:start w:w="140" w:type="dxa"/>
              <w:bottom w:w="120" w:type="dxa"/>
              <w:end w:w="140" w:type="dxa"/>
            </w:tcMar>
            <w:vAlign w:val="center"/>
          </w:tcPr>
          <w:p>
            <w:r>
              <w:rPr>
                <w:rFonts w:ascii="Liberation Sans" w:hAnsi="Liberation Sans"/>
                <w:b w:val="0"/>
                <w:i w:val="0"/>
                <w:color w:val="0B1F2A"/>
                <w:sz w:val="18"/>
              </w:rPr>
              <w:t>Secondary text and metadata</w:t>
            </w:r>
          </w:p>
        </w:tc>
      </w:tr>
      <w:tr>
        <w:tc>
          <w:tcPr>
            <w:tcW w:type="dxa" w:w="2016"/>
            <w:tcMar>
              <w:top w:w="120" w:type="dxa"/>
              <w:start w:w="140" w:type="dxa"/>
              <w:bottom w:w="120" w:type="dxa"/>
              <w:end w:w="140" w:type="dxa"/>
            </w:tcMar>
            <w:vAlign w:val="center"/>
            <w:shd w:fill="DDE5E2"/>
          </w:tcPr>
          <w:p>
            <w:r>
              <w:rPr>
                <w:rFonts w:ascii="Liberation Sans" w:hAnsi="Liberation Sans"/>
                <w:b/>
                <w:i w:val="0"/>
                <w:color w:val="0B1F2A"/>
                <w:sz w:val="19"/>
              </w:rPr>
              <w:t>Fog</w:t>
            </w:r>
          </w:p>
        </w:tc>
        <w:tc>
          <w:tcPr>
            <w:tcW w:type="dxa" w:w="1584"/>
            <w:tcMar>
              <w:top w:w="120" w:type="dxa"/>
              <w:start w:w="140" w:type="dxa"/>
              <w:bottom w:w="120" w:type="dxa"/>
              <w:end w:w="140" w:type="dxa"/>
            </w:tcMar>
            <w:vAlign w:val="center"/>
          </w:tcPr>
          <w:p>
            <w:r>
              <w:rPr>
                <w:rFonts w:ascii="JetBrainsMono Nerd Font" w:hAnsi="JetBrainsMono Nerd Font"/>
                <w:b/>
                <w:i w:val="0"/>
                <w:color w:val="0B1F2A"/>
                <w:sz w:val="18"/>
              </w:rPr>
              <w:t>#DDE5E2</w:t>
            </w:r>
          </w:p>
        </w:tc>
        <w:tc>
          <w:tcPr>
            <w:tcW w:type="dxa" w:w="5760"/>
            <w:tcMar>
              <w:top w:w="120" w:type="dxa"/>
              <w:start w:w="140" w:type="dxa"/>
              <w:bottom w:w="120" w:type="dxa"/>
              <w:end w:w="140" w:type="dxa"/>
            </w:tcMar>
            <w:vAlign w:val="center"/>
          </w:tcPr>
          <w:p>
            <w:r>
              <w:rPr>
                <w:rFonts w:ascii="Liberation Sans" w:hAnsi="Liberation Sans"/>
                <w:b w:val="0"/>
                <w:i w:val="0"/>
                <w:color w:val="0B1F2A"/>
                <w:sz w:val="18"/>
              </w:rPr>
              <w:t>Boundaries and diagram support</w:t>
            </w:r>
          </w:p>
        </w:tc>
      </w:tr>
    </w:tbl>
    <w:p>
      <w:pPr>
        <w:pStyle w:val="Heading1"/>
        <w:keepNext/>
      </w:pPr>
      <w:r>
        <w:t>Usage ratio</w:t>
      </w:r>
    </w:p>
    <w:p>
      <w:pPr>
        <w:spacing w:after="120" w:line="300" w:lineRule="auto"/>
      </w:pPr>
      <w:r>
        <w:rPr>
          <w:rFonts w:ascii="Liberation Sans" w:hAnsi="Liberation Sans"/>
          <w:b/>
          <w:i w:val="0"/>
          <w:color w:val="0B1F2A"/>
          <w:sz w:val="28"/>
        </w:rPr>
        <w:t>60% Paper · 25% Deep Ink · 10% Fog/Mineral · ≤5% Signal</w:t>
      </w:r>
    </w:p>
    <w:p>
      <w:pPr>
        <w:spacing w:after="120" w:line="300" w:lineRule="auto"/>
      </w:pPr>
      <w:r>
        <w:rPr>
          <w:rFonts w:ascii="Liberation Sans" w:hAnsi="Liberation Sans"/>
          <w:b w:val="0"/>
          <w:i w:val="0"/>
          <w:color w:val="0B1F2A"/>
          <w:sz w:val="21"/>
        </w:rPr>
        <w:t>Never use Signal for paragraphs or large backgrounds. Pair Deep Ink text with Signal. Use Paper or white for long-form reading surfaces.</w:t>
      </w:r>
    </w:p>
    <w:p>
      <w:r>
        <w:br w:type="page"/>
      </w:r>
    </w:p>
    <w:p>
      <w:pPr>
        <w:spacing w:before="160" w:after="120"/>
      </w:pPr>
      <w:r>
        <w:rPr>
          <w:rFonts w:ascii="Liberation Sans" w:hAnsi="Liberation Sans"/>
          <w:b/>
          <w:i w:val="0"/>
          <w:color w:val="2F7F78"/>
          <w:sz w:val="17"/>
        </w:rPr>
        <w:t>08 / TYPOGRAPHY</w:t>
      </w:r>
    </w:p>
    <w:p>
      <w:pPr>
        <w:spacing w:after="160"/>
      </w:pPr>
      <w:r>
        <w:rPr>
          <w:rFonts w:ascii="Liberation Sans" w:hAnsi="Liberation Sans"/>
          <w:b/>
          <w:i w:val="0"/>
          <w:color w:val="0B1F2A"/>
          <w:sz w:val="48"/>
        </w:rPr>
        <w:t>Clarity at product scale</w:t>
      </w:r>
    </w:p>
    <w:p>
      <w:pPr>
        <w:pStyle w:val="Heading1"/>
        <w:keepNext/>
      </w:pPr>
      <w:r>
        <w:t>Inter</w:t>
      </w:r>
    </w:p>
    <w:p>
      <w:pPr>
        <w:spacing w:after="120" w:line="300" w:lineRule="auto"/>
      </w:pPr>
      <w:r>
        <w:rPr>
          <w:rFonts w:ascii="Liberation Sans" w:hAnsi="Liberation Sans"/>
          <w:b w:val="0"/>
          <w:i w:val="0"/>
          <w:color w:val="0B1F2A"/>
          <w:sz w:val="24"/>
        </w:rPr>
        <w:t>Primary family for UI, web, documentation, and communications. Use 700–800 for major headlines, 600 for labels, and 400–500 for body copy. Keep sentence case by default.</w:t>
      </w:r>
    </w:p>
    <w:p>
      <w:pPr>
        <w:pStyle w:val="Heading1"/>
        <w:keepNext/>
      </w:pPr>
      <w:r>
        <w:t>JetBrains Mono</w:t>
      </w:r>
    </w:p>
    <w:p>
      <w:pPr>
        <w:spacing w:after="120" w:line="300" w:lineRule="auto"/>
      </w:pPr>
      <w:r>
        <w:rPr>
          <w:rFonts w:ascii="Liberation Sans" w:hAnsi="Liberation Sans"/>
          <w:b w:val="0"/>
          <w:i w:val="0"/>
          <w:color w:val="0B1F2A"/>
          <w:sz w:val="23"/>
        </w:rPr>
        <w:t>Use for commit IDs, symbols, file paths, evidence labels, and temporal coordinates. It is a technical annotation voice, not a body font.</w:t>
      </w:r>
    </w:p>
    <w:p>
      <w:pPr>
        <w:spacing w:before="80" w:after="200" w:line="288" w:lineRule="auto"/>
        <w:ind w:left="144" w:right="144"/>
        <w:shd w:fill="F5F1E8"/>
      </w:pPr>
      <w:r>
        <w:rPr>
          <w:rFonts w:ascii="Liberation Sans" w:hAnsi="Liberation Sans"/>
          <w:b/>
          <w:i w:val="0"/>
          <w:color w:val="2F7F78"/>
          <w:sz w:val="17"/>
        </w:rPr>
        <w:t xml:space="preserve">FALLBACKS  </w:t>
      </w:r>
      <w:r>
        <w:rPr>
          <w:rFonts w:ascii="Liberation Sans" w:hAnsi="Liberation Sans"/>
          <w:b/>
          <w:i w:val="0"/>
          <w:color w:val="0B1F2A"/>
          <w:sz w:val="22"/>
        </w:rPr>
        <w:t>Inter, Arial, Helvetica, sans-serif  /  JetBrains Mono, ui-monospace, monospace</w:t>
      </w:r>
    </w:p>
    <w:p>
      <w:pPr>
        <w:pStyle w:val="Heading2"/>
        <w:keepNext/>
      </w:pPr>
      <w:r>
        <w:t>Type behavior</w:t>
      </w:r>
    </w:p>
    <w:p>
      <w:pPr>
        <w:pStyle w:val="ListBullet"/>
        <w:spacing w:after="80" w:line="300" w:lineRule="auto"/>
      </w:pPr>
      <w:r>
        <w:rPr>
          <w:rFonts w:ascii="Liberation Sans" w:hAnsi="Liberation Sans"/>
          <w:b w:val="0"/>
          <w:i w:val="0"/>
          <w:color w:val="0B1F2A"/>
          <w:sz w:val="20"/>
        </w:rPr>
        <w:t>Favor compact headlines with generous space around them.</w:t>
      </w:r>
    </w:p>
    <w:p>
      <w:pPr>
        <w:pStyle w:val="ListBullet"/>
        <w:spacing w:after="80" w:line="300" w:lineRule="auto"/>
      </w:pPr>
      <w:r>
        <w:rPr>
          <w:rFonts w:ascii="Liberation Sans" w:hAnsi="Liberation Sans"/>
          <w:b w:val="0"/>
          <w:i w:val="0"/>
          <w:color w:val="0B1F2A"/>
          <w:sz w:val="20"/>
        </w:rPr>
        <w:t>Use tabular alignment for before/after states and timestamps.</w:t>
      </w:r>
    </w:p>
    <w:p>
      <w:pPr>
        <w:pStyle w:val="ListBullet"/>
        <w:spacing w:after="80" w:line="300" w:lineRule="auto"/>
      </w:pPr>
      <w:r>
        <w:rPr>
          <w:rFonts w:ascii="Liberation Sans" w:hAnsi="Liberation Sans"/>
          <w:b w:val="0"/>
          <w:i w:val="0"/>
          <w:color w:val="0B1F2A"/>
          <w:sz w:val="20"/>
        </w:rPr>
        <w:t>Do not set long prose in monospace.</w:t>
      </w:r>
    </w:p>
    <w:p>
      <w:pPr>
        <w:pStyle w:val="ListBullet"/>
        <w:spacing w:after="80" w:line="300" w:lineRule="auto"/>
      </w:pPr>
      <w:r>
        <w:rPr>
          <w:rFonts w:ascii="Liberation Sans" w:hAnsi="Liberation Sans"/>
          <w:b w:val="0"/>
          <w:i w:val="0"/>
          <w:color w:val="0B1F2A"/>
          <w:sz w:val="20"/>
        </w:rPr>
        <w:t>Avoid all caps except short metadata and evidence labels.</w:t>
      </w:r>
    </w:p>
    <w:p>
      <w:r>
        <w:br w:type="page"/>
      </w:r>
    </w:p>
    <w:p>
      <w:pPr>
        <w:spacing w:before="160" w:after="120"/>
      </w:pPr>
      <w:r>
        <w:rPr>
          <w:rFonts w:ascii="Liberation Sans" w:hAnsi="Liberation Sans"/>
          <w:b/>
          <w:i w:val="0"/>
          <w:color w:val="2F7F78"/>
          <w:sz w:val="17"/>
        </w:rPr>
        <w:t>09 / LOGO SYSTEM</w:t>
      </w:r>
    </w:p>
    <w:p>
      <w:pPr>
        <w:spacing w:after="160"/>
      </w:pPr>
      <w:r>
        <w:rPr>
          <w:rFonts w:ascii="Liberation Sans" w:hAnsi="Liberation Sans"/>
          <w:b/>
          <w:i w:val="0"/>
          <w:color w:val="0B1F2A"/>
          <w:sz w:val="48"/>
        </w:rPr>
        <w:t>One mark, deliberate variants</w:t>
      </w:r>
    </w:p>
    <w:p>
      <w:pPr>
        <w:jc w:val="center"/>
      </w:pPr>
      <w:r>
        <w:drawing>
          <wp:inline xmlns:a="http://schemas.openxmlformats.org/drawingml/2006/main" xmlns:pic="http://schemas.openxmlformats.org/drawingml/2006/picture">
            <wp:extent cx="5029200" cy="1215390"/>
            <wp:docPr id="3" name="Picture 3" descr="Know the Map horizontal lockup with the Bleentr endorsement." title="Know the Map horizontal lockup with the Bleentr endorsement."/>
            <wp:cNvGraphicFramePr>
              <a:graphicFrameLocks noChangeAspect="1"/>
            </wp:cNvGraphicFramePr>
            <a:graphic>
              <a:graphicData uri="http://schemas.openxmlformats.org/drawingml/2006/picture">
                <pic:pic>
                  <pic:nvPicPr>
                    <pic:cNvPr id="0" name="ktm-lockup-horizontal-primary.png"/>
                    <pic:cNvPicPr/>
                  </pic:nvPicPr>
                  <pic:blipFill>
                    <a:blip r:embed="rId12"/>
                    <a:stretch>
                      <a:fillRect/>
                    </a:stretch>
                  </pic:blipFill>
                  <pic:spPr>
                    <a:xfrm>
                      <a:off x="0" y="0"/>
                      <a:ext cx="5029200" cy="1215390"/>
                    </a:xfrm>
                    <a:prstGeom prst="rect"/>
                  </pic:spPr>
                </pic:pic>
              </a:graphicData>
            </a:graphic>
          </wp:inline>
        </w:drawing>
      </w:r>
    </w:p>
    <w:p>
      <w:pPr>
        <w:pStyle w:val="Heading1"/>
        <w:keepNext/>
      </w:pPr>
      <w:r>
        <w:t>Default hierarchy</w:t>
      </w:r>
    </w:p>
    <w:p>
      <w:pPr>
        <w:spacing w:after="120" w:line="300" w:lineRule="auto"/>
      </w:pPr>
      <w:r>
        <w:rPr>
          <w:rFonts w:ascii="Liberation Sans" w:hAnsi="Liberation Sans"/>
          <w:b w:val="0"/>
          <w:i w:val="0"/>
          <w:color w:val="0B1F2A"/>
          <w:sz w:val="21"/>
        </w:rPr>
        <w:t>Use the horizontal lockup by default. Use the stacked lockup for square or narrow compositions. Use the symbol alone only when the product name is already present or the surface is constrained.</w:t>
      </w:r>
    </w:p>
    <w:p>
      <w:pPr>
        <w:pStyle w:val="Heading2"/>
        <w:keepNext/>
      </w:pPr>
      <w:r>
        <w:t>Bleentr endorsement</w:t>
      </w:r>
    </w:p>
    <w:p>
      <w:pPr>
        <w:spacing w:after="120" w:line="300" w:lineRule="auto"/>
      </w:pPr>
      <w:r>
        <w:rPr>
          <w:rFonts w:ascii="Liberation Sans" w:hAnsi="Liberation Sans"/>
          <w:b w:val="0"/>
          <w:i w:val="0"/>
          <w:color w:val="0B1F2A"/>
          <w:sz w:val="21"/>
        </w:rPr>
        <w:t>Bleentr is the umbrella brand. “by Bleentr” stays visibly secondary and travels with the product lockup. In copy, the first mention may be “Know the Map by Bleentr”; subsequent mentions use “Know the Map.”</w:t>
      </w:r>
    </w:p>
    <w:p>
      <w:pPr>
        <w:pStyle w:val="Heading2"/>
        <w:keepNext/>
      </w:pPr>
      <w:r>
        <w:t>Color variants</w:t>
      </w:r>
    </w:p>
    <w:p>
      <w:pPr>
        <w:pStyle w:val="ListBullet"/>
        <w:spacing w:after="80" w:line="300" w:lineRule="auto"/>
      </w:pPr>
      <w:r>
        <w:rPr>
          <w:rFonts w:ascii="Liberation Sans" w:hAnsi="Liberation Sans"/>
          <w:b w:val="0"/>
          <w:i w:val="0"/>
          <w:color w:val="0B1F2A"/>
          <w:sz w:val="20"/>
        </w:rPr>
        <w:t>Primary: Deep Ink + Signal on Paper or white.</w:t>
      </w:r>
    </w:p>
    <w:p>
      <w:pPr>
        <w:pStyle w:val="ListBullet"/>
        <w:spacing w:after="80" w:line="300" w:lineRule="auto"/>
      </w:pPr>
      <w:r>
        <w:rPr>
          <w:rFonts w:ascii="Liberation Sans" w:hAnsi="Liberation Sans"/>
          <w:b w:val="0"/>
          <w:i w:val="0"/>
          <w:color w:val="0B1F2A"/>
          <w:sz w:val="20"/>
        </w:rPr>
        <w:t>Reverse: Paper/white + Signal on Deep Ink.</w:t>
      </w:r>
    </w:p>
    <w:p>
      <w:pPr>
        <w:pStyle w:val="ListBullet"/>
        <w:spacing w:after="80" w:line="300" w:lineRule="auto"/>
      </w:pPr>
      <w:r>
        <w:rPr>
          <w:rFonts w:ascii="Liberation Sans" w:hAnsi="Liberation Sans"/>
          <w:b w:val="0"/>
          <w:i w:val="0"/>
          <w:color w:val="0B1F2A"/>
          <w:sz w:val="20"/>
        </w:rPr>
        <w:t>Monochrome: one-color reproduction, engraving, or constrained integrations.</w:t>
      </w:r>
    </w:p>
    <w:p>
      <w:r>
        <w:br w:type="page"/>
      </w:r>
    </w:p>
    <w:p>
      <w:pPr>
        <w:spacing w:before="160" w:after="120"/>
      </w:pPr>
      <w:r>
        <w:rPr>
          <w:rFonts w:ascii="Liberation Sans" w:hAnsi="Liberation Sans"/>
          <w:b/>
          <w:i w:val="0"/>
          <w:color w:val="2F7F78"/>
          <w:sz w:val="17"/>
        </w:rPr>
        <w:t>10 / LOGO RULES</w:t>
      </w:r>
    </w:p>
    <w:p>
      <w:pPr>
        <w:spacing w:after="160"/>
      </w:pPr>
      <w:r>
        <w:rPr>
          <w:rFonts w:ascii="Liberation Sans" w:hAnsi="Liberation Sans"/>
          <w:b/>
          <w:i w:val="0"/>
          <w:color w:val="0B1F2A"/>
          <w:sz w:val="48"/>
        </w:rPr>
        <w:t>Protect recognition and meaning</w:t>
      </w:r>
    </w:p>
    <w:p>
      <w:pPr>
        <w:pStyle w:val="Heading1"/>
        <w:keepNext/>
      </w:pPr>
      <w:r>
        <w:t>Clear space and minimum size</w:t>
      </w:r>
    </w:p>
    <w:p>
      <w:pPr>
        <w:spacing w:after="120" w:line="300" w:lineRule="auto"/>
      </w:pPr>
      <w:r>
        <w:rPr>
          <w:rFonts w:ascii="Liberation Sans" w:hAnsi="Liberation Sans"/>
          <w:b w:val="0"/>
          <w:i w:val="0"/>
          <w:color w:val="0B1F2A"/>
          <w:sz w:val="21"/>
        </w:rPr>
        <w:t>Clear space equals one center-node diameter on every side. Minimum digital widths: horizontal 160 px; stacked 96 px; symbol 20 px. Use the dedicated favicon at 16 px. Minimum print widths: horizontal 42 mm; stacked 25 mm.</w:t>
      </w:r>
    </w:p>
    <w:p>
      <w:pPr>
        <w:pStyle w:val="Heading1"/>
        <w:keepNext/>
      </w:pPr>
      <w:r>
        <w:t>Never</w:t>
      </w:r>
    </w:p>
    <w:p>
      <w:pPr>
        <w:pStyle w:val="ListBullet"/>
        <w:spacing w:after="80" w:line="300" w:lineRule="auto"/>
      </w:pPr>
      <w:r>
        <w:rPr>
          <w:rFonts w:ascii="Liberation Sans" w:hAnsi="Liberation Sans"/>
          <w:b w:val="0"/>
          <w:i w:val="0"/>
          <w:color w:val="0B1F2A"/>
          <w:sz w:val="20"/>
        </w:rPr>
        <w:t>Redraw, rotate, stretch, crop, or rearrange the mark.</w:t>
      </w:r>
    </w:p>
    <w:p>
      <w:pPr>
        <w:pStyle w:val="ListBullet"/>
        <w:spacing w:after="80" w:line="300" w:lineRule="auto"/>
      </w:pPr>
      <w:r>
        <w:rPr>
          <w:rFonts w:ascii="Liberation Sans" w:hAnsi="Liberation Sans"/>
          <w:b w:val="0"/>
          <w:i w:val="0"/>
          <w:color w:val="0B1F2A"/>
          <w:sz w:val="20"/>
        </w:rPr>
        <w:t>Add shadows, gradients, glows, bevels, outlines, or animation effects.</w:t>
      </w:r>
    </w:p>
    <w:p>
      <w:pPr>
        <w:pStyle w:val="ListBullet"/>
        <w:spacing w:after="80" w:line="300" w:lineRule="auto"/>
      </w:pPr>
      <w:r>
        <w:rPr>
          <w:rFonts w:ascii="Liberation Sans" w:hAnsi="Liberation Sans"/>
          <w:b w:val="0"/>
          <w:i w:val="0"/>
          <w:color w:val="0B1F2A"/>
          <w:sz w:val="20"/>
        </w:rPr>
        <w:t>Recolor individual nodes or highlight more than one node.</w:t>
      </w:r>
    </w:p>
    <w:p>
      <w:pPr>
        <w:pStyle w:val="ListBullet"/>
        <w:spacing w:after="80" w:line="300" w:lineRule="auto"/>
      </w:pPr>
      <w:r>
        <w:rPr>
          <w:rFonts w:ascii="Liberation Sans" w:hAnsi="Liberation Sans"/>
          <w:b w:val="0"/>
          <w:i w:val="0"/>
          <w:color w:val="0B1F2A"/>
          <w:sz w:val="20"/>
        </w:rPr>
        <w:t>Place the primary mark on low-contrast or noisy imagery.</w:t>
      </w:r>
    </w:p>
    <w:p>
      <w:pPr>
        <w:pStyle w:val="ListBullet"/>
        <w:spacing w:after="80" w:line="300" w:lineRule="auto"/>
      </w:pPr>
      <w:r>
        <w:rPr>
          <w:rFonts w:ascii="Liberation Sans" w:hAnsi="Liberation Sans"/>
          <w:b w:val="0"/>
          <w:i w:val="0"/>
          <w:color w:val="0B1F2A"/>
          <w:sz w:val="20"/>
        </w:rPr>
        <w:t>Detach, enlarge, or restyle “by Bleentr.”</w:t>
      </w:r>
    </w:p>
    <w:p>
      <w:pPr>
        <w:pStyle w:val="ListBullet"/>
        <w:spacing w:after="80" w:line="300" w:lineRule="auto"/>
      </w:pPr>
      <w:r>
        <w:rPr>
          <w:rFonts w:ascii="Liberation Sans" w:hAnsi="Liberation Sans"/>
          <w:b w:val="0"/>
          <w:i w:val="0"/>
          <w:color w:val="0B1F2A"/>
          <w:sz w:val="20"/>
        </w:rPr>
        <w:t>Use the K-route as a generic bullet or decorative pattern.</w:t>
      </w:r>
    </w:p>
    <w:p>
      <w:pPr>
        <w:spacing w:before="80" w:after="200" w:line="288" w:lineRule="auto"/>
        <w:ind w:left="144" w:right="144"/>
        <w:shd w:fill="F5F1E8"/>
      </w:pPr>
      <w:r>
        <w:rPr>
          <w:rFonts w:ascii="Liberation Sans" w:hAnsi="Liberation Sans"/>
          <w:b/>
          <w:i w:val="0"/>
          <w:color w:val="2F7F78"/>
          <w:sz w:val="17"/>
        </w:rPr>
        <w:t xml:space="preserve">MEANING CHECK  </w:t>
      </w:r>
      <w:r>
        <w:rPr>
          <w:rFonts w:ascii="Liberation Sans" w:hAnsi="Liberation Sans"/>
          <w:b/>
          <w:i w:val="0"/>
          <w:color w:val="0B1F2A"/>
          <w:sz w:val="22"/>
        </w:rPr>
        <w:t>If the accent does not answer “what changed?” or “where is focus?”, remove it.</w:t>
      </w:r>
    </w:p>
    <w:p>
      <w:r>
        <w:br w:type="page"/>
      </w:r>
    </w:p>
    <w:p>
      <w:pPr>
        <w:spacing w:before="160" w:after="120"/>
      </w:pPr>
      <w:r>
        <w:rPr>
          <w:rFonts w:ascii="Liberation Sans" w:hAnsi="Liberation Sans"/>
          <w:b/>
          <w:i w:val="0"/>
          <w:color w:val="2F7F78"/>
          <w:sz w:val="17"/>
        </w:rPr>
        <w:t>11 / VISUAL LANGUAGE</w:t>
      </w:r>
    </w:p>
    <w:p>
      <w:pPr>
        <w:spacing w:after="160"/>
      </w:pPr>
      <w:r>
        <w:rPr>
          <w:rFonts w:ascii="Liberation Sans" w:hAnsi="Liberation Sans"/>
          <w:b/>
          <w:i w:val="0"/>
          <w:color w:val="0B1F2A"/>
          <w:sz w:val="48"/>
        </w:rPr>
        <w:t>Show systems, not AI theater</w:t>
      </w:r>
    </w:p>
    <w:p>
      <w:pPr>
        <w:pStyle w:val="Heading1"/>
        <w:keepNext/>
      </w:pPr>
      <w:r>
        <w:t>Use</w:t>
      </w:r>
    </w:p>
    <w:p>
      <w:pPr>
        <w:pStyle w:val="ListBullet"/>
        <w:spacing w:after="80" w:line="300" w:lineRule="auto"/>
      </w:pPr>
      <w:r>
        <w:rPr>
          <w:rFonts w:ascii="Liberation Sans" w:hAnsi="Liberation Sans"/>
          <w:b w:val="0"/>
          <w:i w:val="0"/>
          <w:color w:val="0B1F2A"/>
          <w:sz w:val="20"/>
        </w:rPr>
        <w:t>Architecture layers and repository boundaries.</w:t>
      </w:r>
    </w:p>
    <w:p>
      <w:pPr>
        <w:pStyle w:val="ListBullet"/>
        <w:spacing w:after="80" w:line="300" w:lineRule="auto"/>
      </w:pPr>
      <w:r>
        <w:rPr>
          <w:rFonts w:ascii="Liberation Sans" w:hAnsi="Liberation Sans"/>
          <w:b w:val="0"/>
          <w:i w:val="0"/>
          <w:color w:val="0B1F2A"/>
          <w:sz w:val="20"/>
        </w:rPr>
        <w:t>Dependency routes and affected flows.</w:t>
      </w:r>
    </w:p>
    <w:p>
      <w:pPr>
        <w:pStyle w:val="ListBullet"/>
        <w:spacing w:after="80" w:line="300" w:lineRule="auto"/>
      </w:pPr>
      <w:r>
        <w:rPr>
          <w:rFonts w:ascii="Liberation Sans" w:hAnsi="Liberation Sans"/>
          <w:b w:val="0"/>
          <w:i w:val="0"/>
          <w:color w:val="0B1F2A"/>
          <w:sz w:val="20"/>
        </w:rPr>
        <w:t>Commit trajectories and before/after states.</w:t>
      </w:r>
    </w:p>
    <w:p>
      <w:pPr>
        <w:pStyle w:val="ListBullet"/>
        <w:spacing w:after="80" w:line="300" w:lineRule="auto"/>
      </w:pPr>
      <w:r>
        <w:rPr>
          <w:rFonts w:ascii="Liberation Sans" w:hAnsi="Liberation Sans"/>
          <w:b w:val="0"/>
          <w:i w:val="0"/>
          <w:color w:val="0B1F2A"/>
          <w:sz w:val="20"/>
        </w:rPr>
        <w:t>Evidence paths linking claims to code, tests, and history.</w:t>
      </w:r>
    </w:p>
    <w:p>
      <w:pPr>
        <w:pStyle w:val="ListBullet"/>
        <w:spacing w:after="80" w:line="300" w:lineRule="auto"/>
      </w:pPr>
      <w:r>
        <w:rPr>
          <w:rFonts w:ascii="Liberation Sans" w:hAnsi="Liberation Sans"/>
          <w:b w:val="0"/>
          <w:i w:val="0"/>
          <w:color w:val="0B1F2A"/>
          <w:sz w:val="20"/>
        </w:rPr>
        <w:t>Generous negative space and restrained editorial grids.</w:t>
      </w:r>
    </w:p>
    <w:p>
      <w:pPr>
        <w:pStyle w:val="Heading1"/>
        <w:keepNext/>
      </w:pPr>
      <w:r>
        <w:t>Avoid</w:t>
      </w:r>
    </w:p>
    <w:p>
      <w:pPr>
        <w:pStyle w:val="ListBullet"/>
        <w:spacing w:after="80" w:line="300" w:lineRule="auto"/>
      </w:pPr>
      <w:r>
        <w:rPr>
          <w:rFonts w:ascii="Liberation Sans" w:hAnsi="Liberation Sans"/>
          <w:b w:val="0"/>
          <w:i w:val="0"/>
          <w:color w:val="0B1F2A"/>
          <w:sz w:val="20"/>
        </w:rPr>
        <w:t>Brains, robots, sparkles, chat bubbles, and magic wands.</w:t>
      </w:r>
    </w:p>
    <w:p>
      <w:pPr>
        <w:pStyle w:val="ListBullet"/>
        <w:spacing w:after="80" w:line="300" w:lineRule="auto"/>
      </w:pPr>
      <w:r>
        <w:rPr>
          <w:rFonts w:ascii="Liberation Sans" w:hAnsi="Liberation Sans"/>
          <w:b w:val="0"/>
          <w:i w:val="0"/>
          <w:color w:val="0B1F2A"/>
          <w:sz w:val="20"/>
        </w:rPr>
        <w:t>Circuit boards, glowing neural networks, and cyberpunk gradients.</w:t>
      </w:r>
    </w:p>
    <w:p>
      <w:pPr>
        <w:pStyle w:val="ListBullet"/>
        <w:spacing w:after="80" w:line="300" w:lineRule="auto"/>
      </w:pPr>
      <w:r>
        <w:rPr>
          <w:rFonts w:ascii="Liberation Sans" w:hAnsi="Liberation Sans"/>
          <w:b w:val="0"/>
          <w:i w:val="0"/>
          <w:color w:val="0B1F2A"/>
          <w:sz w:val="20"/>
        </w:rPr>
        <w:t>Literal folded maps, pins, globes, and compasses.</w:t>
      </w:r>
    </w:p>
    <w:p>
      <w:pPr>
        <w:pStyle w:val="ListBullet"/>
        <w:spacing w:after="80" w:line="300" w:lineRule="auto"/>
      </w:pPr>
      <w:r>
        <w:rPr>
          <w:rFonts w:ascii="Liberation Sans" w:hAnsi="Liberation Sans"/>
          <w:b w:val="0"/>
          <w:i w:val="0"/>
          <w:color w:val="0B1F2A"/>
          <w:sz w:val="20"/>
        </w:rPr>
        <w:t>Dense decorative node clouds with no semantic hierarchy.</w:t>
      </w:r>
    </w:p>
    <w:p>
      <w:pPr>
        <w:pStyle w:val="Heading1"/>
        <w:keepNext/>
      </w:pPr>
      <w:r>
        <w:t>Motion</w:t>
      </w:r>
    </w:p>
    <w:p>
      <w:pPr>
        <w:spacing w:after="120" w:line="300" w:lineRule="auto"/>
      </w:pPr>
      <w:r>
        <w:rPr>
          <w:rFonts w:ascii="Liberation Sans" w:hAnsi="Liberation Sans"/>
          <w:b w:val="0"/>
          <w:i w:val="0"/>
          <w:color w:val="0B1F2A"/>
          <w:sz w:val="21"/>
        </w:rPr>
        <w:t>Motion may trace a route, reveal a dependency, or transition from before state to after state. It should explain causality. Avoid idle pulsing, scanning, or perpetual “thinking” animations.</w:t>
      </w:r>
    </w:p>
    <w:p>
      <w:r>
        <w:br w:type="page"/>
      </w:r>
    </w:p>
    <w:p>
      <w:pPr>
        <w:spacing w:before="160" w:after="120"/>
      </w:pPr>
      <w:r>
        <w:rPr>
          <w:rFonts w:ascii="Liberation Sans" w:hAnsi="Liberation Sans"/>
          <w:b/>
          <w:i w:val="0"/>
          <w:color w:val="2F7F78"/>
          <w:sz w:val="17"/>
        </w:rPr>
        <w:t>12 / APPLICATIONS</w:t>
      </w:r>
    </w:p>
    <w:p>
      <w:pPr>
        <w:spacing w:after="160"/>
      </w:pPr>
      <w:r>
        <w:rPr>
          <w:rFonts w:ascii="Liberation Sans" w:hAnsi="Liberation Sans"/>
          <w:b/>
          <w:i w:val="0"/>
          <w:color w:val="0B1F2A"/>
          <w:sz w:val="48"/>
        </w:rPr>
        <w:t>A consistent system across surfaces</w:t>
      </w:r>
    </w:p>
    <w:tbl>
      <w:tblPr>
        <w:tblStyle w:val="TableGrid"/>
        <w:tblW w:type="dxa" w:w="9360"/>
        <w:tblLayout w:type="fixed"/>
        <w:tblLook w:firstColumn="1" w:firstRow="1" w:lastColumn="0" w:lastRow="0" w:noHBand="0" w:noVBand="1" w:val="04A0"/>
      </w:tblPr>
      <w:tblGrid>
        <w:gridCol w:w="4680"/>
        <w:gridCol w:w="4680"/>
      </w:tblGrid>
      <w:tr>
        <w:trPr>
          <w:tblHeader w:val="true"/>
        </w:trPr>
        <w:tc>
          <w:tcPr>
            <w:tcW w:type="dxa" w:w="1944"/>
            <w:tcMar>
              <w:top w:w="120" w:type="dxa"/>
              <w:start w:w="140" w:type="dxa"/>
              <w:bottom w:w="120" w:type="dxa"/>
              <w:end w:w="140" w:type="dxa"/>
            </w:tcMar>
            <w:vAlign w:val="center"/>
            <w:shd w:fill="0B1F2A"/>
          </w:tcPr>
          <w:p>
            <w:r>
              <w:rPr>
                <w:rFonts w:ascii="Liberation Sans" w:hAnsi="Liberation Sans"/>
                <w:b/>
                <w:i w:val="0"/>
                <w:color w:val="FFFFFF"/>
                <w:sz w:val="19"/>
              </w:rPr>
              <w:t>Surface</w:t>
            </w:r>
          </w:p>
        </w:tc>
        <w:tc>
          <w:tcPr>
            <w:tcW w:type="dxa" w:w="7416"/>
            <w:tcMar>
              <w:top w:w="120" w:type="dxa"/>
              <w:start w:w="140" w:type="dxa"/>
              <w:bottom w:w="120" w:type="dxa"/>
              <w:end w:w="140" w:type="dxa"/>
            </w:tcMar>
            <w:vAlign w:val="center"/>
            <w:shd w:fill="0B1F2A"/>
          </w:tcPr>
          <w:p>
            <w:r>
              <w:rPr>
                <w:rFonts w:ascii="Liberation Sans" w:hAnsi="Liberation Sans"/>
                <w:b/>
                <w:i w:val="0"/>
                <w:color w:val="FFFFFF"/>
                <w:sz w:val="19"/>
              </w:rPr>
              <w:t>Rule</w:t>
            </w:r>
          </w:p>
        </w:tc>
      </w:tr>
      <w:tr>
        <w:tc>
          <w:tcPr>
            <w:tcW w:type="dxa" w:w="1944"/>
            <w:tcMar>
              <w:top w:w="120" w:type="dxa"/>
              <w:start w:w="140" w:type="dxa"/>
              <w:bottom w:w="120" w:type="dxa"/>
              <w:end w:w="140" w:type="dxa"/>
            </w:tcMar>
            <w:vAlign w:val="center"/>
          </w:tcPr>
          <w:p>
            <w:r>
              <w:rPr>
                <w:rFonts w:ascii="Liberation Sans" w:hAnsi="Liberation Sans"/>
                <w:b/>
                <w:i w:val="0"/>
                <w:color w:val="0B1F2A"/>
                <w:sz w:val="18"/>
              </w:rPr>
              <w:t>Web</w:t>
            </w:r>
          </w:p>
        </w:tc>
        <w:tc>
          <w:tcPr>
            <w:tcW w:type="dxa" w:w="7416"/>
            <w:tcMar>
              <w:top w:w="120" w:type="dxa"/>
              <w:start w:w="140" w:type="dxa"/>
              <w:bottom w:w="120" w:type="dxa"/>
              <w:end w:w="140" w:type="dxa"/>
            </w:tcMar>
            <w:vAlign w:val="center"/>
          </w:tcPr>
          <w:p>
            <w:r>
              <w:rPr>
                <w:rFonts w:ascii="Liberation Sans" w:hAnsi="Liberation Sans"/>
                <w:b w:val="0"/>
                <w:i w:val="0"/>
                <w:color w:val="0B1F2A"/>
                <w:sz w:val="18"/>
              </w:rPr>
              <w:t>Horizontal lockup on Paper/white; reverse in dark hero or footer.</w:t>
            </w:r>
          </w:p>
        </w:tc>
      </w:tr>
      <w:tr>
        <w:tc>
          <w:tcPr>
            <w:tcW w:type="dxa" w:w="1944"/>
            <w:tcMar>
              <w:top w:w="120" w:type="dxa"/>
              <w:start w:w="140" w:type="dxa"/>
              <w:bottom w:w="120" w:type="dxa"/>
              <w:end w:w="140" w:type="dxa"/>
            </w:tcMar>
            <w:vAlign w:val="center"/>
          </w:tcPr>
          <w:p>
            <w:r>
              <w:rPr>
                <w:rFonts w:ascii="Liberation Sans" w:hAnsi="Liberation Sans"/>
                <w:b/>
                <w:i w:val="0"/>
                <w:color w:val="0B1F2A"/>
                <w:sz w:val="18"/>
              </w:rPr>
              <w:t>README</w:t>
            </w:r>
          </w:p>
        </w:tc>
        <w:tc>
          <w:tcPr>
            <w:tcW w:type="dxa" w:w="7416"/>
            <w:tcMar>
              <w:top w:w="120" w:type="dxa"/>
              <w:start w:w="140" w:type="dxa"/>
              <w:bottom w:w="120" w:type="dxa"/>
              <w:end w:w="140" w:type="dxa"/>
            </w:tcMar>
            <w:vAlign w:val="center"/>
          </w:tcPr>
          <w:p>
            <w:r>
              <w:rPr>
                <w:rFonts w:ascii="Liberation Sans" w:hAnsi="Liberation Sans"/>
                <w:b w:val="0"/>
                <w:i w:val="0"/>
                <w:color w:val="0B1F2A"/>
                <w:sz w:val="18"/>
              </w:rPr>
              <w:t>Use the 1200 × 300 banner or horizontal SVG. Keep product explanation immediately below.</w:t>
            </w:r>
          </w:p>
        </w:tc>
      </w:tr>
      <w:tr>
        <w:tc>
          <w:tcPr>
            <w:tcW w:type="dxa" w:w="1944"/>
            <w:tcMar>
              <w:top w:w="120" w:type="dxa"/>
              <w:start w:w="140" w:type="dxa"/>
              <w:bottom w:w="120" w:type="dxa"/>
              <w:end w:w="140" w:type="dxa"/>
            </w:tcMar>
            <w:vAlign w:val="center"/>
          </w:tcPr>
          <w:p>
            <w:r>
              <w:rPr>
                <w:rFonts w:ascii="Liberation Sans" w:hAnsi="Liberation Sans"/>
                <w:b/>
                <w:i w:val="0"/>
                <w:color w:val="0B1F2A"/>
                <w:sz w:val="18"/>
              </w:rPr>
              <w:t>Social card</w:t>
            </w:r>
          </w:p>
        </w:tc>
        <w:tc>
          <w:tcPr>
            <w:tcW w:type="dxa" w:w="7416"/>
            <w:tcMar>
              <w:top w:w="120" w:type="dxa"/>
              <w:start w:w="140" w:type="dxa"/>
              <w:bottom w:w="120" w:type="dxa"/>
              <w:end w:w="140" w:type="dxa"/>
            </w:tcMar>
            <w:vAlign w:val="center"/>
          </w:tcPr>
          <w:p>
            <w:r>
              <w:rPr>
                <w:rFonts w:ascii="Liberation Sans" w:hAnsi="Liberation Sans"/>
                <w:b w:val="0"/>
                <w:i w:val="0"/>
                <w:color w:val="0B1F2A"/>
                <w:sz w:val="18"/>
              </w:rPr>
              <w:t>Use the 1200 × 630 asset; replace only supporting editorial copy, not the lockup.</w:t>
            </w:r>
          </w:p>
        </w:tc>
      </w:tr>
      <w:tr>
        <w:tc>
          <w:tcPr>
            <w:tcW w:type="dxa" w:w="1944"/>
            <w:tcMar>
              <w:top w:w="120" w:type="dxa"/>
              <w:start w:w="140" w:type="dxa"/>
              <w:bottom w:w="120" w:type="dxa"/>
              <w:end w:w="140" w:type="dxa"/>
            </w:tcMar>
            <w:vAlign w:val="center"/>
          </w:tcPr>
          <w:p>
            <w:r>
              <w:rPr>
                <w:rFonts w:ascii="Liberation Sans" w:hAnsi="Liberation Sans"/>
                <w:b/>
                <w:i w:val="0"/>
                <w:color w:val="0B1F2A"/>
                <w:sz w:val="18"/>
              </w:rPr>
              <w:t>Social profile</w:t>
            </w:r>
          </w:p>
        </w:tc>
        <w:tc>
          <w:tcPr>
            <w:tcW w:type="dxa" w:w="7416"/>
            <w:tcMar>
              <w:top w:w="120" w:type="dxa"/>
              <w:start w:w="140" w:type="dxa"/>
              <w:bottom w:w="120" w:type="dxa"/>
              <w:end w:w="140" w:type="dxa"/>
            </w:tcMar>
            <w:vAlign w:val="center"/>
          </w:tcPr>
          <w:p>
            <w:r>
              <w:rPr>
                <w:rFonts w:ascii="Liberation Sans" w:hAnsi="Liberation Sans"/>
                <w:b w:val="0"/>
                <w:i w:val="0"/>
                <w:color w:val="0B1F2A"/>
                <w:sz w:val="18"/>
              </w:rPr>
              <w:t>Use the 1200 × 1200 tiled symbol with safe padding.</w:t>
            </w:r>
          </w:p>
        </w:tc>
      </w:tr>
      <w:tr>
        <w:tc>
          <w:tcPr>
            <w:tcW w:type="dxa" w:w="1944"/>
            <w:tcMar>
              <w:top w:w="120" w:type="dxa"/>
              <w:start w:w="140" w:type="dxa"/>
              <w:bottom w:w="120" w:type="dxa"/>
              <w:end w:w="140" w:type="dxa"/>
            </w:tcMar>
            <w:vAlign w:val="center"/>
          </w:tcPr>
          <w:p>
            <w:r>
              <w:rPr>
                <w:rFonts w:ascii="Liberation Sans" w:hAnsi="Liberation Sans"/>
                <w:b/>
                <w:i w:val="0"/>
                <w:color w:val="0B1F2A"/>
                <w:sz w:val="18"/>
              </w:rPr>
              <w:t>Favicon</w:t>
            </w:r>
          </w:p>
        </w:tc>
        <w:tc>
          <w:tcPr>
            <w:tcW w:type="dxa" w:w="7416"/>
            <w:tcMar>
              <w:top w:w="120" w:type="dxa"/>
              <w:start w:w="140" w:type="dxa"/>
              <w:bottom w:w="120" w:type="dxa"/>
              <w:end w:w="140" w:type="dxa"/>
            </w:tcMar>
            <w:vAlign w:val="center"/>
          </w:tcPr>
          <w:p>
            <w:r>
              <w:rPr>
                <w:rFonts w:ascii="Liberation Sans" w:hAnsi="Liberation Sans"/>
                <w:b w:val="0"/>
                <w:i w:val="0"/>
                <w:color w:val="0B1F2A"/>
                <w:sz w:val="18"/>
              </w:rPr>
              <w:t>Prefer SVG; provide 16/32/48 PNG and ICO fallbacks.</w:t>
            </w:r>
          </w:p>
        </w:tc>
      </w:tr>
      <w:tr>
        <w:tc>
          <w:tcPr>
            <w:tcW w:type="dxa" w:w="1944"/>
            <w:tcMar>
              <w:top w:w="120" w:type="dxa"/>
              <w:start w:w="140" w:type="dxa"/>
              <w:bottom w:w="120" w:type="dxa"/>
              <w:end w:w="140" w:type="dxa"/>
            </w:tcMar>
            <w:vAlign w:val="center"/>
          </w:tcPr>
          <w:p>
            <w:r>
              <w:rPr>
                <w:rFonts w:ascii="Liberation Sans" w:hAnsi="Liberation Sans"/>
                <w:b/>
                <w:i w:val="0"/>
                <w:color w:val="0B1F2A"/>
                <w:sz w:val="18"/>
              </w:rPr>
              <w:t>Product UI</w:t>
            </w:r>
          </w:p>
        </w:tc>
        <w:tc>
          <w:tcPr>
            <w:tcW w:type="dxa" w:w="7416"/>
            <w:tcMar>
              <w:top w:w="120" w:type="dxa"/>
              <w:start w:w="140" w:type="dxa"/>
              <w:bottom w:w="120" w:type="dxa"/>
              <w:end w:w="140" w:type="dxa"/>
            </w:tcMar>
            <w:vAlign w:val="center"/>
          </w:tcPr>
          <w:p>
            <w:r>
              <w:rPr>
                <w:rFonts w:ascii="Liberation Sans" w:hAnsi="Liberation Sans"/>
                <w:b w:val="0"/>
                <w:i w:val="0"/>
                <w:color w:val="0B1F2A"/>
                <w:sz w:val="18"/>
              </w:rPr>
              <w:t>Keep branding quiet. Use the topology grammar for diagrams, timelines, and change states.</w:t>
            </w:r>
          </w:p>
        </w:tc>
      </w:tr>
    </w:tbl>
    <w:p>
      <w:pPr>
        <w:spacing w:before="280"/>
      </w:pPr>
      <w:r>
        <w:drawing>
          <wp:inline xmlns:a="http://schemas.openxmlformats.org/drawingml/2006/main" xmlns:pic="http://schemas.openxmlformats.org/drawingml/2006/picture">
            <wp:extent cx="5943600" cy="1485900"/>
            <wp:docPr id="4" name="Picture 4" descr="Dark README banner for Know the Map with the tagline Understand the system behind the change." title="Dark README banner for Know the Map with the tagline Understand the system behind the change."/>
            <wp:cNvGraphicFramePr>
              <a:graphicFrameLocks noChangeAspect="1"/>
            </wp:cNvGraphicFramePr>
            <a:graphic>
              <a:graphicData uri="http://schemas.openxmlformats.org/drawingml/2006/picture">
                <pic:pic>
                  <pic:nvPicPr>
                    <pic:cNvPr id="0" name="ktm-readme-banner.png"/>
                    <pic:cNvPicPr/>
                  </pic:nvPicPr>
                  <pic:blipFill>
                    <a:blip r:embed="rId13"/>
                    <a:stretch>
                      <a:fillRect/>
                    </a:stretch>
                  </pic:blipFill>
                  <pic:spPr>
                    <a:xfrm>
                      <a:off x="0" y="0"/>
                      <a:ext cx="5943600" cy="1485900"/>
                    </a:xfrm>
                    <a:prstGeom prst="rect"/>
                  </pic:spPr>
                </pic:pic>
              </a:graphicData>
            </a:graphic>
          </wp:inline>
        </w:drawing>
      </w:r>
    </w:p>
    <w:p>
      <w:r>
        <w:br w:type="page"/>
      </w:r>
    </w:p>
    <w:p>
      <w:pPr>
        <w:spacing w:before="160" w:after="120"/>
      </w:pPr>
      <w:r>
        <w:rPr>
          <w:rFonts w:ascii="Liberation Sans" w:hAnsi="Liberation Sans"/>
          <w:b/>
          <w:i w:val="0"/>
          <w:color w:val="2F7F78"/>
          <w:sz w:val="17"/>
        </w:rPr>
        <w:t>13 / GOVERNANCE</w:t>
      </w:r>
    </w:p>
    <w:p>
      <w:pPr>
        <w:spacing w:after="160"/>
      </w:pPr>
      <w:r>
        <w:rPr>
          <w:rFonts w:ascii="Liberation Sans" w:hAnsi="Liberation Sans"/>
          <w:b/>
          <w:i w:val="0"/>
          <w:color w:val="0B1F2A"/>
          <w:sz w:val="48"/>
        </w:rPr>
        <w:t>The five-minute brand check</w:t>
      </w:r>
    </w:p>
    <w:p>
      <w:pPr>
        <w:pStyle w:val="ListBullet"/>
        <w:spacing w:after="80" w:line="300" w:lineRule="auto"/>
      </w:pPr>
      <w:r>
        <w:rPr>
          <w:rFonts w:ascii="Liberation Sans" w:hAnsi="Liberation Sans"/>
          <w:b w:val="0"/>
          <w:i w:val="0"/>
          <w:color w:val="0B1F2A"/>
          <w:sz w:val="20"/>
        </w:rPr>
        <w:t>□  Does the message lead with comprehension rather than automation?</w:t>
      </w:r>
    </w:p>
    <w:p>
      <w:pPr>
        <w:pStyle w:val="ListBullet"/>
        <w:spacing w:after="80" w:line="300" w:lineRule="auto"/>
      </w:pPr>
      <w:r>
        <w:rPr>
          <w:rFonts w:ascii="Liberation Sans" w:hAnsi="Liberation Sans"/>
          <w:b w:val="0"/>
          <w:i w:val="0"/>
          <w:color w:val="0B1F2A"/>
          <w:sz w:val="20"/>
        </w:rPr>
        <w:t>□  Is every claim grounded in a system state, history, or evidence?</w:t>
      </w:r>
    </w:p>
    <w:p>
      <w:pPr>
        <w:pStyle w:val="ListBullet"/>
        <w:spacing w:after="80" w:line="300" w:lineRule="auto"/>
      </w:pPr>
      <w:r>
        <w:rPr>
          <w:rFonts w:ascii="Liberation Sans" w:hAnsi="Liberation Sans"/>
          <w:b w:val="0"/>
          <w:i w:val="0"/>
          <w:color w:val="0B1F2A"/>
          <w:sz w:val="20"/>
        </w:rPr>
        <w:t>□  Does Signal identify one meaningful focus?</w:t>
      </w:r>
    </w:p>
    <w:p>
      <w:pPr>
        <w:pStyle w:val="ListBullet"/>
        <w:spacing w:after="80" w:line="300" w:lineRule="auto"/>
      </w:pPr>
      <w:r>
        <w:rPr>
          <w:rFonts w:ascii="Liberation Sans" w:hAnsi="Liberation Sans"/>
          <w:b w:val="0"/>
          <w:i w:val="0"/>
          <w:color w:val="0B1F2A"/>
          <w:sz w:val="20"/>
        </w:rPr>
        <w:t>□  Is the mark legible at the intended size?</w:t>
      </w:r>
    </w:p>
    <w:p>
      <w:pPr>
        <w:pStyle w:val="ListBullet"/>
        <w:spacing w:after="80" w:line="300" w:lineRule="auto"/>
      </w:pPr>
      <w:r>
        <w:rPr>
          <w:rFonts w:ascii="Liberation Sans" w:hAnsi="Liberation Sans"/>
          <w:b w:val="0"/>
          <w:i w:val="0"/>
          <w:color w:val="0B1F2A"/>
          <w:sz w:val="20"/>
        </w:rPr>
        <w:t>□  Is “by Bleentr” secondary but intact?</w:t>
      </w:r>
    </w:p>
    <w:p>
      <w:pPr>
        <w:pStyle w:val="ListBullet"/>
        <w:spacing w:after="80" w:line="300" w:lineRule="auto"/>
      </w:pPr>
      <w:r>
        <w:rPr>
          <w:rFonts w:ascii="Liberation Sans" w:hAnsi="Liberation Sans"/>
          <w:b w:val="0"/>
          <w:i w:val="0"/>
          <w:color w:val="0B1F2A"/>
          <w:sz w:val="20"/>
        </w:rPr>
        <w:t>□  Does the design feel calm, technical, and editorial?</w:t>
      </w:r>
    </w:p>
    <w:p>
      <w:pPr>
        <w:pStyle w:val="ListBullet"/>
        <w:spacing w:after="80" w:line="300" w:lineRule="auto"/>
      </w:pPr>
      <w:r>
        <w:rPr>
          <w:rFonts w:ascii="Liberation Sans" w:hAnsi="Liberation Sans"/>
          <w:b w:val="0"/>
          <w:i w:val="0"/>
          <w:color w:val="0B1F2A"/>
          <w:sz w:val="20"/>
        </w:rPr>
        <w:t>□  Have generic AI clichés been removed?</w:t>
      </w:r>
    </w:p>
    <w:p>
      <w:pPr>
        <w:pStyle w:val="Heading1"/>
        <w:keepNext/>
      </w:pPr>
      <w:r>
        <w:t>Asset package</w:t>
      </w:r>
    </w:p>
    <w:p>
      <w:pPr>
        <w:spacing w:after="120" w:line="300" w:lineRule="auto"/>
      </w:pPr>
      <w:r>
        <w:rPr>
          <w:rFonts w:ascii="Liberation Sans" w:hAnsi="Liberation Sans"/>
          <w:b w:val="0"/>
          <w:i w:val="0"/>
          <w:color w:val="0B1F2A"/>
          <w:sz w:val="21"/>
        </w:rPr>
        <w:t>The accompanying folder includes editable SVG masters and production-ready PNG/ICO exports for web, README, social, and browser use. Start with the README in the asset folder.</w:t>
      </w:r>
    </w:p>
    <w:p>
      <w:pPr>
        <w:spacing w:before="80" w:after="200" w:line="288" w:lineRule="auto"/>
        <w:ind w:left="144" w:right="144"/>
        <w:shd w:fill="F5F1E8"/>
      </w:pPr>
      <w:r>
        <w:rPr>
          <w:rFonts w:ascii="Liberation Sans" w:hAnsi="Liberation Sans"/>
          <w:b/>
          <w:i w:val="0"/>
          <w:color w:val="2F7F78"/>
          <w:sz w:val="17"/>
        </w:rPr>
        <w:t xml:space="preserve">NORTH STAR  </w:t>
      </w:r>
      <w:r>
        <w:rPr>
          <w:rFonts w:ascii="Liberation Sans" w:hAnsi="Liberation Sans"/>
          <w:b/>
          <w:i w:val="0"/>
          <w:color w:val="0B1F2A"/>
          <w:sz w:val="22"/>
        </w:rPr>
        <w:t>Don’t just read the diff. Know the map.</w:t>
      </w:r>
    </w:p>
    <w:sectPr w:rsidR="00FC693F" w:rsidRPr="0006063C" w:rsidSect="00034616">
      <w:footerReference w:type="default" r:id="rId9"/>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b/>
        <w:i w:val="0"/>
        <w:color w:val="607680"/>
        <w:sz w:val="16"/>
      </w:rPr>
      <w:t xml:space="preserve">KNOW THE MAP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Liberation Sans" w:hAnsi="Liberation Sans"/>
      <w:color w:val="0B1F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Liberation Sans" w:hAnsi="Liberation Sans"/>
      <w:b/>
      <w:bCs/>
      <w:color w:val="0B1F2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F7F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2A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