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2067"/>
          <w:sz w:val="56"/>
        </w:rPr>
        <w:t>NorthernAir Solutions GmbH</w:t>
      </w:r>
    </w:p>
    <w:p>
      <w:r>
        <w:rPr>
          <w:b w:val="0"/>
          <w:i/>
          <w:color w:val="9B2BF7"/>
        </w:rPr>
        <w:t>Response to Centrica RFP IT-INF-DC-COOL-2026</w:t>
      </w:r>
    </w:p>
    <w:p>
      <w:r>
        <w:rPr>
          <w:b w:val="0"/>
          <w:i/>
          <w:color w:val="555555"/>
        </w:rPr>
        <w:t>Submitted by NorthernAir UK Ltd, the UK trading entity of NorthernAir Solutions GmbH (Stuttgart)</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F2067"/>
              </w:rPr>
              <w:t>Bid reference</w:t>
            </w:r>
          </w:p>
        </w:tc>
        <w:tc>
          <w:tcPr>
            <w:tcW w:type="dxa" w:w="4320"/>
          </w:tcPr>
          <w:p>
            <w:r>
              <w:rPr>
                <w:b/>
                <w:color w:val="0F2067"/>
              </w:rPr>
              <w:t>NA-CEN-2026-DC-COOL-A+C</w:t>
            </w:r>
          </w:p>
        </w:tc>
      </w:tr>
      <w:tr>
        <w:tc>
          <w:tcPr>
            <w:tcW w:type="dxa" w:w="4320"/>
          </w:tcPr>
          <w:p>
            <w:r>
              <w:t>Submitted to</w:t>
            </w:r>
          </w:p>
        </w:tc>
        <w:tc>
          <w:tcPr>
            <w:tcW w:type="dxa" w:w="4320"/>
          </w:tcPr>
          <w:p>
            <w:r>
              <w:t>Priya Rai, Senior Category Manager, Centrica plc</w:t>
            </w:r>
          </w:p>
        </w:tc>
      </w:tr>
      <w:tr>
        <w:tc>
          <w:tcPr>
            <w:tcW w:type="dxa" w:w="4320"/>
          </w:tcPr>
          <w:p>
            <w:r>
              <w:t>Submitted by</w:t>
            </w:r>
          </w:p>
        </w:tc>
        <w:tc>
          <w:tcPr>
            <w:tcW w:type="dxa" w:w="4320"/>
          </w:tcPr>
          <w:p>
            <w:r>
              <w:t>Helmut Bauer, Group Programme Director (UK time 30%)</w:t>
            </w:r>
          </w:p>
        </w:tc>
      </w:tr>
      <w:tr>
        <w:tc>
          <w:tcPr>
            <w:tcW w:type="dxa" w:w="4320"/>
          </w:tcPr>
          <w:p>
            <w:r>
              <w:t>UK contact</w:t>
            </w:r>
          </w:p>
        </w:tc>
        <w:tc>
          <w:tcPr>
            <w:tcW w:type="dxa" w:w="4320"/>
          </w:tcPr>
          <w:p>
            <w:r>
              <w:t>James Henderson, MD NorthernAir UK Ltd</w:t>
            </w:r>
          </w:p>
        </w:tc>
      </w:tr>
      <w:tr>
        <w:tc>
          <w:tcPr>
            <w:tcW w:type="dxa" w:w="4320"/>
          </w:tcPr>
          <w:p>
            <w:r>
              <w:t>Date</w:t>
            </w:r>
          </w:p>
        </w:tc>
        <w:tc>
          <w:tcPr>
            <w:tcW w:type="dxa" w:w="4320"/>
          </w:tcPr>
          <w:p>
            <w:r>
              <w:t>19 June 2026</w:t>
            </w:r>
          </w:p>
        </w:tc>
      </w:tr>
      <w:tr>
        <w:tc>
          <w:tcPr>
            <w:tcW w:type="dxa" w:w="4320"/>
          </w:tcPr>
          <w:p>
            <w:r>
              <w:t>Clusters bid</w:t>
            </w:r>
          </w:p>
        </w:tc>
        <w:tc>
          <w:tcPr>
            <w:tcW w:type="dxa" w:w="4320"/>
          </w:tcPr>
          <w:p>
            <w:r>
              <w:t>Cluster A (Slough East / Hams Hall / Reading West) and Cluster C (Cardiff Imperial Park)</w:t>
            </w:r>
          </w:p>
        </w:tc>
      </w:tr>
      <w:tr>
        <w:tc>
          <w:tcPr>
            <w:tcW w:type="dxa" w:w="4320"/>
          </w:tcPr>
          <w:p>
            <w:r>
              <w:t>Headline CapEx</w:t>
            </w:r>
          </w:p>
        </w:tc>
        <w:tc>
          <w:tcPr>
            <w:tcW w:type="dxa" w:w="4320"/>
          </w:tcPr>
          <w:p>
            <w:r>
              <w:t>£19,980,000 — lowest in field</w:t>
            </w:r>
          </w:p>
        </w:tc>
      </w:tr>
      <w:tr>
        <w:tc>
          <w:tcPr>
            <w:tcW w:type="dxa" w:w="4320"/>
          </w:tcPr>
          <w:p>
            <w:r>
              <w:t>10-yr OpEx</w:t>
            </w:r>
          </w:p>
        </w:tc>
        <w:tc>
          <w:tcPr>
            <w:tcW w:type="dxa" w:w="4320"/>
          </w:tcPr>
          <w:p>
            <w:r>
              <w:t>£19,850,000</w:t>
            </w:r>
          </w:p>
        </w:tc>
      </w:tr>
      <w:tr>
        <w:tc>
          <w:tcPr>
            <w:tcW w:type="dxa" w:w="4320"/>
          </w:tcPr>
          <w:p>
            <w:r>
              <w:t>Design-point PUE</w:t>
            </w:r>
          </w:p>
        </w:tc>
        <w:tc>
          <w:tcPr>
            <w:tcW w:type="dxa" w:w="4320"/>
          </w:tcPr>
          <w:p>
            <w:r>
              <w:t>1.24 — meets Centrica 1.25 ceiling</w:t>
            </w:r>
          </w:p>
        </w:tc>
      </w:tr>
      <w:tr>
        <w:tc>
          <w:tcPr>
            <w:tcW w:type="dxa" w:w="4320"/>
          </w:tcPr>
          <w:p>
            <w:r>
              <w:t>Validity</w:t>
            </w:r>
          </w:p>
        </w:tc>
        <w:tc>
          <w:tcPr>
            <w:tcW w:type="dxa" w:w="4320"/>
          </w:tcPr>
          <w:p>
            <w:r>
              <w:t>60 days from submission</w:t>
            </w:r>
          </w:p>
        </w:tc>
      </w:tr>
    </w:tbl>
    <w:p>
      <w:r>
        <w:br w:type="page"/>
      </w:r>
    </w:p>
    <w:p>
      <w:pPr>
        <w:pStyle w:val="Heading1"/>
      </w:pPr>
      <w:r>
        <w:rPr>
          <w:rFonts w:ascii="Arial" w:hAnsi="Arial"/>
          <w:color w:val="0F2067"/>
        </w:rPr>
        <w:t>1. Company &amp; Capability</w:t>
      </w:r>
    </w:p>
    <w:p>
      <w:r>
        <w:rPr>
          <w:b w:val="0"/>
          <w:i w:val="0"/>
        </w:rPr>
        <w:t>NorthernAir Solutions GmbH is a German Mittelstand company founded 1962, headquartered in Stuttgart, and privately owned by the Vogt family. We employ 247 people in our UK subsidiary NorthernAir UK Ltd, with offices in Coventry (engineering hub) and Bristol (sales + service).</w:t>
      </w:r>
    </w:p>
    <w:p>
      <w:pPr>
        <w:pStyle w:val="Heading2"/>
      </w:pPr>
      <w:r>
        <w:rPr>
          <w:rFonts w:ascii="Arial" w:hAnsi="Arial"/>
          <w:color w:val="9B2BF7"/>
        </w:rPr>
        <w:t>1.1 UK references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F2067"/>
              </w:rPr>
              <w:t>Client</w:t>
            </w:r>
          </w:p>
        </w:tc>
        <w:tc>
          <w:tcPr>
            <w:tcW w:type="dxa" w:w="1728"/>
          </w:tcPr>
          <w:p>
            <w:r>
              <w:rPr>
                <w:b/>
                <w:color w:val="0F2067"/>
              </w:rPr>
              <w:t>Site</w:t>
            </w:r>
          </w:p>
        </w:tc>
        <w:tc>
          <w:tcPr>
            <w:tcW w:type="dxa" w:w="1728"/>
          </w:tcPr>
          <w:p>
            <w:r>
              <w:rPr>
                <w:b/>
                <w:color w:val="0F2067"/>
              </w:rPr>
              <w:t>IT load</w:t>
            </w:r>
          </w:p>
        </w:tc>
        <w:tc>
          <w:tcPr>
            <w:tcW w:type="dxa" w:w="1728"/>
          </w:tcPr>
          <w:p>
            <w:r>
              <w:rPr>
                <w:b/>
                <w:color w:val="0F2067"/>
              </w:rPr>
              <w:t>Year</w:t>
            </w:r>
          </w:p>
        </w:tc>
        <w:tc>
          <w:tcPr>
            <w:tcW w:type="dxa" w:w="1728"/>
          </w:tcPr>
          <w:p>
            <w:r>
              <w:rPr>
                <w:b/>
                <w:color w:val="0F2067"/>
              </w:rPr>
              <w:t>Year-1 PUE</w:t>
            </w:r>
          </w:p>
        </w:tc>
      </w:tr>
      <w:tr>
        <w:tc>
          <w:tcPr>
            <w:tcW w:type="dxa" w:w="1728"/>
          </w:tcPr>
          <w:p>
            <w:r>
              <w:t>BNP Paribas</w:t>
            </w:r>
          </w:p>
        </w:tc>
        <w:tc>
          <w:tcPr>
            <w:tcW w:type="dxa" w:w="1728"/>
          </w:tcPr>
          <w:p>
            <w:r>
              <w:t>London Bishopsgate</w:t>
            </w:r>
          </w:p>
        </w:tc>
        <w:tc>
          <w:tcPr>
            <w:tcW w:type="dxa" w:w="1728"/>
          </w:tcPr>
          <w:p>
            <w:r>
              <w:t>3.2 MW</w:t>
            </w:r>
          </w:p>
        </w:tc>
        <w:tc>
          <w:tcPr>
            <w:tcW w:type="dxa" w:w="1728"/>
          </w:tcPr>
          <w:p>
            <w:r>
              <w:t>2024</w:t>
            </w:r>
          </w:p>
        </w:tc>
        <w:tc>
          <w:tcPr>
            <w:tcW w:type="dxa" w:w="1728"/>
          </w:tcPr>
          <w:p>
            <w:r>
              <w:t>1.23</w:t>
            </w:r>
          </w:p>
        </w:tc>
      </w:tr>
      <w:tr>
        <w:tc>
          <w:tcPr>
            <w:tcW w:type="dxa" w:w="1728"/>
          </w:tcPr>
          <w:p>
            <w:r>
              <w:t>Bayer UK</w:t>
            </w:r>
          </w:p>
        </w:tc>
        <w:tc>
          <w:tcPr>
            <w:tcW w:type="dxa" w:w="1728"/>
          </w:tcPr>
          <w:p>
            <w:r>
              <w:t>Reading West</w:t>
            </w:r>
          </w:p>
        </w:tc>
        <w:tc>
          <w:tcPr>
            <w:tcW w:type="dxa" w:w="1728"/>
          </w:tcPr>
          <w:p>
            <w:r>
              <w:t>2.4 MW</w:t>
            </w:r>
          </w:p>
        </w:tc>
        <w:tc>
          <w:tcPr>
            <w:tcW w:type="dxa" w:w="1728"/>
          </w:tcPr>
          <w:p>
            <w:r>
              <w:t>2023</w:t>
            </w:r>
          </w:p>
        </w:tc>
        <w:tc>
          <w:tcPr>
            <w:tcW w:type="dxa" w:w="1728"/>
          </w:tcPr>
          <w:p>
            <w:r>
              <w:t>1.25</w:t>
            </w:r>
          </w:p>
        </w:tc>
      </w:tr>
      <w:tr>
        <w:tc>
          <w:tcPr>
            <w:tcW w:type="dxa" w:w="1728"/>
          </w:tcPr>
          <w:p>
            <w:r>
              <w:t>Roche</w:t>
            </w:r>
          </w:p>
        </w:tc>
        <w:tc>
          <w:tcPr>
            <w:tcW w:type="dxa" w:w="1728"/>
          </w:tcPr>
          <w:p>
            <w:r>
              <w:t>Welwyn</w:t>
            </w:r>
          </w:p>
        </w:tc>
        <w:tc>
          <w:tcPr>
            <w:tcW w:type="dxa" w:w="1728"/>
          </w:tcPr>
          <w:p>
            <w:r>
              <w:t>4.0 MW</w:t>
            </w:r>
          </w:p>
        </w:tc>
        <w:tc>
          <w:tcPr>
            <w:tcW w:type="dxa" w:w="1728"/>
          </w:tcPr>
          <w:p>
            <w:r>
              <w:t>2025</w:t>
            </w:r>
          </w:p>
        </w:tc>
        <w:tc>
          <w:tcPr>
            <w:tcW w:type="dxa" w:w="1728"/>
          </w:tcPr>
          <w:p>
            <w:r>
              <w:t>1.22</w:t>
            </w:r>
          </w:p>
        </w:tc>
      </w:tr>
    </w:tbl>
    <w:p>
      <w:pPr>
        <w:pStyle w:val="Heading2"/>
      </w:pPr>
      <w:r>
        <w:rPr>
          <w:rFonts w:ascii="Arial" w:hAnsi="Arial"/>
          <w:color w:val="9B2BF7"/>
        </w:rPr>
        <w:t>1.2 Certifications</w:t>
      </w:r>
    </w:p>
    <w:p>
      <w:r>
        <w:rPr>
          <w:b w:val="0"/>
          <w:i w:val="0"/>
        </w:rPr>
        <w:t>ISO 14001:2015, ISO 45001:2018, ISO 27001:2022 all current. ISO 50001:2018 in progress, target Q4 2026.</w:t>
      </w:r>
    </w:p>
    <w:p>
      <w:pPr>
        <w:pStyle w:val="Heading1"/>
      </w:pPr>
      <w:r>
        <w:rPr>
          <w:rFonts w:ascii="Arial" w:hAnsi="Arial"/>
          <w:color w:val="0F2067"/>
        </w:rPr>
        <w:t>2. Technical Solution</w:t>
      </w:r>
    </w:p>
    <w:p>
      <w:r>
        <w:rPr>
          <w:b w:val="0"/>
          <w:i w:val="0"/>
        </w:rPr>
        <w:t>We propose our flagship NorthernAir Adiabatic-Plus indirect adiabatic system with chilled-water trim. Adiabatic-Plus is genuinely best-in-class for water stewardship — make-up water target 1.1 L/kWh of IT load, materially below Centrica's 1.6 L/kWh covenant. This is particularly relevant for Cluster C (Cardiff Imperial Park) given the Welsh Water 'moderate stress' classification of the catchment.</w:t>
      </w:r>
    </w:p>
    <w:p>
      <w:r>
        <w:rPr>
          <w:b w:val="0"/>
          <w:i w:val="0"/>
        </w:rPr>
        <w:t>Design-point PUE: 1.24 at full IT load (UK TMY3, ASHRAE A1) — meets Centrica's 1.25 ceiling without margin. Free-cooling hours: 4,450 per year, above Centrica's 4,200 floor (note: figure includes 6% safety-margin derating from supplier-side; raw model output is 4,710 hrs/yr).</w:t>
      </w:r>
    </w:p>
    <w:p>
      <w:r>
        <w:rPr>
          <w:b w:val="0"/>
          <w:i w:val="0"/>
        </w:rPr>
        <w:t>Redundancy: N+1 across chillers, CRAH, pumps, controls — meets Centrica spec, no headroom above. Refrigerant: R454B (GWP 466). AI setpoint optimisation: on the NorthernAir Group roadmap for delivery 2027 H2; not deployed at any production site today.</w:t>
      </w:r>
    </w:p>
    <w:p>
      <w:r>
        <w:br w:type="page"/>
      </w:r>
    </w:p>
    <w:p>
      <w:pPr>
        <w:pStyle w:val="Heading1"/>
      </w:pPr>
      <w:r>
        <w:rPr>
          <w:rFonts w:ascii="Arial" w:hAnsi="Arial"/>
          <w:color w:val="0F2067"/>
        </w:rPr>
        <w:t>3. Commercial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F2067"/>
              </w:rPr>
              <w:t>Sub-system</w:t>
            </w:r>
          </w:p>
        </w:tc>
        <w:tc>
          <w:tcPr>
            <w:tcW w:type="dxa" w:w="2160"/>
          </w:tcPr>
          <w:p>
            <w:r>
              <w:rPr>
                <w:b/>
                <w:color w:val="0F2067"/>
              </w:rPr>
              <w:t>Cluster A (£)</w:t>
            </w:r>
          </w:p>
        </w:tc>
        <w:tc>
          <w:tcPr>
            <w:tcW w:type="dxa" w:w="2160"/>
          </w:tcPr>
          <w:p>
            <w:r>
              <w:rPr>
                <w:b/>
                <w:color w:val="0F2067"/>
              </w:rPr>
              <w:t>Cluster C (£)</w:t>
            </w:r>
          </w:p>
        </w:tc>
        <w:tc>
          <w:tcPr>
            <w:tcW w:type="dxa" w:w="2160"/>
          </w:tcPr>
          <w:p>
            <w:r>
              <w:rPr>
                <w:b/>
                <w:color w:val="0F2067"/>
              </w:rPr>
              <w:t>Total (£)</w:t>
            </w:r>
          </w:p>
        </w:tc>
      </w:tr>
      <w:tr>
        <w:tc>
          <w:tcPr>
            <w:tcW w:type="dxa" w:w="2160"/>
          </w:tcPr>
          <w:p>
            <w:r>
              <w:t>Chiller plant</w:t>
            </w:r>
          </w:p>
        </w:tc>
        <w:tc>
          <w:tcPr>
            <w:tcW w:type="dxa" w:w="2160"/>
          </w:tcPr>
          <w:p>
            <w:r>
              <w:t>4,180,000</w:t>
            </w:r>
          </w:p>
        </w:tc>
        <w:tc>
          <w:tcPr>
            <w:tcW w:type="dxa" w:w="2160"/>
          </w:tcPr>
          <w:p>
            <w:r>
              <w:t>1,840,000</w:t>
            </w:r>
          </w:p>
        </w:tc>
        <w:tc>
          <w:tcPr>
            <w:tcW w:type="dxa" w:w="2160"/>
          </w:tcPr>
          <w:p>
            <w:r>
              <w:t>6,020,000</w:t>
            </w:r>
          </w:p>
        </w:tc>
      </w:tr>
      <w:tr>
        <w:tc>
          <w:tcPr>
            <w:tcW w:type="dxa" w:w="2160"/>
          </w:tcPr>
          <w:p>
            <w:r>
              <w:t>Adiabatic units</w:t>
            </w:r>
          </w:p>
        </w:tc>
        <w:tc>
          <w:tcPr>
            <w:tcW w:type="dxa" w:w="2160"/>
          </w:tcPr>
          <w:p>
            <w:r>
              <w:t>2,420,000</w:t>
            </w:r>
          </w:p>
        </w:tc>
        <w:tc>
          <w:tcPr>
            <w:tcW w:type="dxa" w:w="2160"/>
          </w:tcPr>
          <w:p>
            <w:r>
              <w:t>1,070,000</w:t>
            </w:r>
          </w:p>
        </w:tc>
        <w:tc>
          <w:tcPr>
            <w:tcW w:type="dxa" w:w="2160"/>
          </w:tcPr>
          <w:p>
            <w:r>
              <w:t>3,490,000</w:t>
            </w:r>
          </w:p>
        </w:tc>
      </w:tr>
      <w:tr>
        <w:tc>
          <w:tcPr>
            <w:tcW w:type="dxa" w:w="2160"/>
          </w:tcPr>
          <w:p>
            <w:r>
              <w:t>Pumps + pipework</w:t>
            </w:r>
          </w:p>
        </w:tc>
        <w:tc>
          <w:tcPr>
            <w:tcW w:type="dxa" w:w="2160"/>
          </w:tcPr>
          <w:p>
            <w:r>
              <w:t>1,070,000</w:t>
            </w:r>
          </w:p>
        </w:tc>
        <w:tc>
          <w:tcPr>
            <w:tcW w:type="dxa" w:w="2160"/>
          </w:tcPr>
          <w:p>
            <w:r>
              <w:t>470,000</w:t>
            </w:r>
          </w:p>
        </w:tc>
        <w:tc>
          <w:tcPr>
            <w:tcW w:type="dxa" w:w="2160"/>
          </w:tcPr>
          <w:p>
            <w:r>
              <w:t>1,540,000</w:t>
            </w:r>
          </w:p>
        </w:tc>
      </w:tr>
      <w:tr>
        <w:tc>
          <w:tcPr>
            <w:tcW w:type="dxa" w:w="2160"/>
          </w:tcPr>
          <w:p>
            <w:r>
              <w:t>Controls + BMS</w:t>
            </w:r>
          </w:p>
        </w:tc>
        <w:tc>
          <w:tcPr>
            <w:tcW w:type="dxa" w:w="2160"/>
          </w:tcPr>
          <w:p>
            <w:r>
              <w:t>780,000</w:t>
            </w:r>
          </w:p>
        </w:tc>
        <w:tc>
          <w:tcPr>
            <w:tcW w:type="dxa" w:w="2160"/>
          </w:tcPr>
          <w:p>
            <w:r>
              <w:t>340,000</w:t>
            </w:r>
          </w:p>
        </w:tc>
        <w:tc>
          <w:tcPr>
            <w:tcW w:type="dxa" w:w="2160"/>
          </w:tcPr>
          <w:p>
            <w:r>
              <w:t>1,120,000</w:t>
            </w:r>
          </w:p>
        </w:tc>
      </w:tr>
      <w:tr>
        <w:tc>
          <w:tcPr>
            <w:tcW w:type="dxa" w:w="2160"/>
          </w:tcPr>
          <w:p>
            <w:r>
              <w:t>Free cooling kit</w:t>
            </w:r>
          </w:p>
        </w:tc>
        <w:tc>
          <w:tcPr>
            <w:tcW w:type="dxa" w:w="2160"/>
          </w:tcPr>
          <w:p>
            <w:r>
              <w:t>880,000</w:t>
            </w:r>
          </w:p>
        </w:tc>
        <w:tc>
          <w:tcPr>
            <w:tcW w:type="dxa" w:w="2160"/>
          </w:tcPr>
          <w:p>
            <w:r>
              <w:t>390,000</w:t>
            </w:r>
          </w:p>
        </w:tc>
        <w:tc>
          <w:tcPr>
            <w:tcW w:type="dxa" w:w="2160"/>
          </w:tcPr>
          <w:p>
            <w:r>
              <w:t>1,270,000</w:t>
            </w:r>
          </w:p>
        </w:tc>
      </w:tr>
      <w:tr>
        <w:tc>
          <w:tcPr>
            <w:tcW w:type="dxa" w:w="2160"/>
          </w:tcPr>
          <w:p>
            <w:r>
              <w:t>Commissioning</w:t>
            </w:r>
          </w:p>
        </w:tc>
        <w:tc>
          <w:tcPr>
            <w:tcW w:type="dxa" w:w="2160"/>
          </w:tcPr>
          <w:p>
            <w:r>
              <w:t>510,000</w:t>
            </w:r>
          </w:p>
        </w:tc>
        <w:tc>
          <w:tcPr>
            <w:tcW w:type="dxa" w:w="2160"/>
          </w:tcPr>
          <w:p>
            <w:r>
              <w:t>230,000</w:t>
            </w:r>
          </w:p>
        </w:tc>
        <w:tc>
          <w:tcPr>
            <w:tcW w:type="dxa" w:w="2160"/>
          </w:tcPr>
          <w:p>
            <w:r>
              <w:t>740,000</w:t>
            </w:r>
          </w:p>
        </w:tc>
      </w:tr>
      <w:tr>
        <w:tc>
          <w:tcPr>
            <w:tcW w:type="dxa" w:w="2160"/>
          </w:tcPr>
          <w:p>
            <w:r>
              <w:t>Training + handover</w:t>
            </w:r>
          </w:p>
        </w:tc>
        <w:tc>
          <w:tcPr>
            <w:tcW w:type="dxa" w:w="2160"/>
          </w:tcPr>
          <w:p>
            <w:r>
              <w:t>390,000</w:t>
            </w:r>
          </w:p>
        </w:tc>
        <w:tc>
          <w:tcPr>
            <w:tcW w:type="dxa" w:w="2160"/>
          </w:tcPr>
          <w:p>
            <w:r>
              <w:t>180,000</w:t>
            </w:r>
          </w:p>
        </w:tc>
        <w:tc>
          <w:tcPr>
            <w:tcW w:type="dxa" w:w="2160"/>
          </w:tcPr>
          <w:p>
            <w:r>
              <w:t>570,000</w:t>
            </w:r>
          </w:p>
        </w:tc>
      </w:tr>
      <w:tr>
        <w:tc>
          <w:tcPr>
            <w:tcW w:type="dxa" w:w="2160"/>
          </w:tcPr>
          <w:p>
            <w:r>
              <w:t>Project mgmt</w:t>
            </w:r>
          </w:p>
        </w:tc>
        <w:tc>
          <w:tcPr>
            <w:tcW w:type="dxa" w:w="2160"/>
          </w:tcPr>
          <w:p>
            <w:r>
              <w:t>880,000</w:t>
            </w:r>
          </w:p>
        </w:tc>
        <w:tc>
          <w:tcPr>
            <w:tcW w:type="dxa" w:w="2160"/>
          </w:tcPr>
          <w:p>
            <w:r>
              <w:t>430,000</w:t>
            </w:r>
          </w:p>
        </w:tc>
        <w:tc>
          <w:tcPr>
            <w:tcW w:type="dxa" w:w="2160"/>
          </w:tcPr>
          <w:p>
            <w:r>
              <w:t>1,310,000</w:t>
            </w:r>
          </w:p>
        </w:tc>
      </w:tr>
      <w:tr>
        <w:tc>
          <w:tcPr>
            <w:tcW w:type="dxa" w:w="2160"/>
          </w:tcPr>
          <w:p>
            <w:r>
              <w:t>Contingency 9%</w:t>
            </w:r>
          </w:p>
        </w:tc>
        <w:tc>
          <w:tcPr>
            <w:tcW w:type="dxa" w:w="2160"/>
          </w:tcPr>
          <w:p>
            <w:r>
              <w:t>1,260,000</w:t>
            </w:r>
          </w:p>
        </w:tc>
        <w:tc>
          <w:tcPr>
            <w:tcW w:type="dxa" w:w="2160"/>
          </w:tcPr>
          <w:p>
            <w:r>
              <w:t>660,000</w:t>
            </w:r>
          </w:p>
        </w:tc>
        <w:tc>
          <w:tcPr>
            <w:tcW w:type="dxa" w:w="2160"/>
          </w:tcPr>
          <w:p>
            <w:r>
              <w:t>1,920,000</w:t>
            </w:r>
          </w:p>
        </w:tc>
      </w:tr>
      <w:tr>
        <w:tc>
          <w:tcPr>
            <w:tcW w:type="dxa" w:w="2160"/>
          </w:tcPr>
          <w:p>
            <w:r>
              <w:t>TOTAL</w:t>
            </w:r>
          </w:p>
        </w:tc>
        <w:tc>
          <w:tcPr>
            <w:tcW w:type="dxa" w:w="2160"/>
          </w:tcPr>
          <w:p>
            <w:r>
              <w:t>12,370,000</w:t>
            </w:r>
          </w:p>
        </w:tc>
        <w:tc>
          <w:tcPr>
            <w:tcW w:type="dxa" w:w="2160"/>
          </w:tcPr>
          <w:p>
            <w:r>
              <w:t>5,610,000</w:t>
            </w:r>
          </w:p>
        </w:tc>
        <w:tc>
          <w:tcPr>
            <w:tcW w:type="dxa" w:w="2160"/>
          </w:tcPr>
          <w:p>
            <w:r>
              <w:t>19,980,000</w:t>
            </w:r>
          </w:p>
        </w:tc>
      </w:tr>
    </w:tbl>
    <w:p>
      <w:r>
        <w:rPr>
          <w:b w:val="0"/>
          <w:i w:val="0"/>
        </w:rPr>
        <w:t>Payment terms requested: Net 30 from valid invoice (deviation from Centrica's Net 60). Liability cap requested: 100% of charges in the prior 12 months (deviation from Centrica's 125%). Price validity: 60 days from submission.</w:t>
      </w:r>
    </w:p>
    <w:p>
      <w:pPr>
        <w:pStyle w:val="Heading1"/>
      </w:pPr>
      <w:r>
        <w:rPr>
          <w:rFonts w:ascii="Arial" w:hAnsi="Arial"/>
          <w:color w:val="0F2067"/>
        </w:rPr>
        <w:t>4. Service Levels &amp; Resilience</w:t>
      </w:r>
    </w:p>
    <w:p>
      <w:r>
        <w:rPr>
          <w:b w:val="0"/>
          <w:i w:val="0"/>
        </w:rPr>
        <w:t>NorthernAir UK operates 38 critical-response engineers across Coventry (24) and Bristol (14). We confirm 24/7/365 coverage for Cluster A from this footprint.</w:t>
      </w:r>
    </w:p>
    <w:p>
      <w:r>
        <w:rPr>
          <w:b w:val="0"/>
          <w:i/>
        </w:rPr>
        <w:t>For Cluster C (Cardiff Imperial Park), night-shift response is sub-contracted to a Welsh Tier 1 facilities partner. The partner identity is being finalised at the time of submission and will be confirmed in the post-bid clarifications window. We acknowledge this introduces a TPRM gating step.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F2067"/>
              </w:rPr>
              <w:t>SLA</w:t>
            </w:r>
          </w:p>
        </w:tc>
        <w:tc>
          <w:tcPr>
            <w:tcW w:type="dxa" w:w="2880"/>
          </w:tcPr>
          <w:p>
            <w:r>
              <w:rPr>
                <w:b/>
                <w:color w:val="0F2067"/>
              </w:rPr>
              <w:t>Centrica target</w:t>
            </w:r>
          </w:p>
        </w:tc>
        <w:tc>
          <w:tcPr>
            <w:tcW w:type="dxa" w:w="2880"/>
          </w:tcPr>
          <w:p>
            <w:r>
              <w:rPr>
                <w:b/>
                <w:color w:val="0F2067"/>
              </w:rPr>
              <w:t>NorthernAir 24-mo evidence</w:t>
            </w:r>
          </w:p>
        </w:tc>
      </w:tr>
      <w:tr>
        <w:tc>
          <w:tcPr>
            <w:tcW w:type="dxa" w:w="2880"/>
          </w:tcPr>
          <w:p>
            <w:r>
              <w:t>4-hr critical response</w:t>
            </w:r>
          </w:p>
        </w:tc>
        <w:tc>
          <w:tcPr>
            <w:tcW w:type="dxa" w:w="2880"/>
          </w:tcPr>
          <w:p>
            <w:r>
              <w:t>≥ 98.0%</w:t>
            </w:r>
          </w:p>
        </w:tc>
        <w:tc>
          <w:tcPr>
            <w:tcW w:type="dxa" w:w="2880"/>
          </w:tcPr>
          <w:p>
            <w:r>
              <w:t>96.8%</w:t>
            </w:r>
          </w:p>
        </w:tc>
      </w:tr>
      <w:tr>
        <w:tc>
          <w:tcPr>
            <w:tcW w:type="dxa" w:w="2880"/>
          </w:tcPr>
          <w:p>
            <w:r>
              <w:t>8-hr critical fix</w:t>
            </w:r>
          </w:p>
        </w:tc>
        <w:tc>
          <w:tcPr>
            <w:tcW w:type="dxa" w:w="2880"/>
          </w:tcPr>
          <w:p>
            <w:r>
              <w:t>≥ 95.0%</w:t>
            </w:r>
          </w:p>
        </w:tc>
        <w:tc>
          <w:tcPr>
            <w:tcW w:type="dxa" w:w="2880"/>
          </w:tcPr>
          <w:p>
            <w:r>
              <w:t>92.4%</w:t>
            </w:r>
          </w:p>
        </w:tc>
      </w:tr>
      <w:tr>
        <w:tc>
          <w:tcPr>
            <w:tcW w:type="dxa" w:w="2880"/>
          </w:tcPr>
          <w:p>
            <w:r>
              <w:t>Mean fix time (critical)</w:t>
            </w:r>
          </w:p>
        </w:tc>
        <w:tc>
          <w:tcPr>
            <w:tcW w:type="dxa" w:w="2880"/>
          </w:tcPr>
          <w:p>
            <w:r>
              <w:t>≤ 4h</w:t>
            </w:r>
          </w:p>
        </w:tc>
        <w:tc>
          <w:tcPr>
            <w:tcW w:type="dxa" w:w="2880"/>
          </w:tcPr>
          <w:p>
            <w:r>
              <w:t>4h 12m</w:t>
            </w:r>
          </w:p>
        </w:tc>
      </w:tr>
      <w:tr>
        <w:tc>
          <w:tcPr>
            <w:tcW w:type="dxa" w:w="2880"/>
          </w:tcPr>
          <w:p>
            <w:r>
              <w:t>UK spares pool</w:t>
            </w:r>
          </w:p>
        </w:tc>
        <w:tc>
          <w:tcPr>
            <w:tcW w:type="dxa" w:w="2880"/>
          </w:tcPr>
          <w:p>
            <w:r>
              <w:t>—</w:t>
            </w:r>
          </w:p>
        </w:tc>
        <w:tc>
          <w:tcPr>
            <w:tcW w:type="dxa" w:w="2880"/>
          </w:tcPr>
          <w:p>
            <w:r>
              <w:t>£1.6m</w:t>
            </w:r>
          </w:p>
        </w:tc>
      </w:tr>
    </w:tbl>
    <w:p>
      <w:r>
        <w:rPr>
          <w:b w:val="0"/>
          <w:i/>
        </w:rPr>
        <w:t>We acknowledge our SLA evidence sits below the Centrica required floors. We have committed in our remediation plan to onboarding a further 12 UK engineers in H2 2026 if the bid is successful, which our internal modelling indicates would lift the response and fix metrics to 98.5% / 95.5% within 12 months of award.</w:t>
      </w:r>
    </w:p>
    <w:p>
      <w:r>
        <w:br w:type="page"/>
      </w:r>
    </w:p>
    <w:p>
      <w:pPr>
        <w:pStyle w:val="Heading1"/>
      </w:pPr>
      <w:r>
        <w:rPr>
          <w:rFonts w:ascii="Arial" w:hAnsi="Arial"/>
          <w:color w:val="0F2067"/>
        </w:rPr>
        <w:t>5. Sustainability &amp; Carbon</w:t>
      </w:r>
    </w:p>
    <w:p>
      <w:r>
        <w:rPr>
          <w:b w:val="0"/>
          <w:i w:val="0"/>
        </w:rPr>
        <w:t>NorthernAir Group reported Scope 1+2 emissions of 6,800 tCO2e for FY25 (group, not UK-only). SBTi status: committed, not yet validated — submission expected H1 2027. Net zero target year: 2040.</w:t>
      </w:r>
    </w:p>
    <w:p>
      <w:r>
        <w:rPr>
          <w:b w:val="0"/>
          <w:i/>
        </w:rPr>
        <w:t>Lifecycle carbon assessment for the proposed Cluster A and Cluster C designs: available on request. We acknowledge this is a §5 mandatory item in the RFP and we commit to providing it within 7 working days of bid submission.</w:t>
      </w:r>
    </w:p>
    <w:p>
      <w:r>
        <w:rPr>
          <w:b w:val="0"/>
          <w:i w:val="0"/>
        </w:rPr>
        <w:t>Make-up water target: 1.1 L/kWh of IT load — best in field. This is a genuine engineering strength of the Adiabatic-Plus platform and is directly relevant to Cluster C's Welsh Water catchment classification.</w:t>
      </w:r>
    </w:p>
    <w:p>
      <w:pPr>
        <w:pStyle w:val="Heading1"/>
      </w:pPr>
      <w:r>
        <w:rPr>
          <w:rFonts w:ascii="Arial" w:hAnsi="Arial"/>
          <w:color w:val="0F2067"/>
        </w:rPr>
        <w:t>6. Implementation</w:t>
      </w:r>
    </w:p>
    <w:p>
      <w:r>
        <w:rPr>
          <w:b w:val="0"/>
          <w:i w:val="0"/>
        </w:rPr>
        <w:t>Programme Director: Helmut Bauer (Stuttgart, UK-time 30%). On-the-ground UK lead: James Henderson (MD NorthernAir UK Ltd, based Coventry). Methodology: PRINCE2 hybrid against Group standard ProjektTakt.</w:t>
      </w:r>
    </w:p>
    <w:p>
      <w:r>
        <w:rPr>
          <w:b w:val="0"/>
          <w:i/>
        </w:rPr>
        <w:t>Critical-path note: chiller fabrication runs from the Stuttgart factory with a 12-week lead time. Hams Hall mobilisation of 1 October 2026 is achievable but tight; a 4-week slippage in chiller release would affect commissioning in November.</w:t>
      </w:r>
    </w:p>
    <w:p>
      <w:pPr>
        <w:pStyle w:val="Heading1"/>
      </w:pPr>
      <w:r>
        <w:rPr>
          <w:rFonts w:ascii="Arial" w:hAnsi="Arial"/>
          <w:color w:val="0F2067"/>
        </w:rPr>
        <w:t>7. Risk &amp; Compliance</w:t>
      </w:r>
    </w:p>
    <w:p>
      <w:r>
        <w:rPr>
          <w:b w:val="0"/>
          <w:i/>
        </w:rPr>
        <w:t>F-Gas: R454B (GWP 466) is within today's regulatory thresholds. Group-wide phase-down to GWP &lt; 150 refrigerants is scheduled for 2032 — we acknowledge this is two years beyond Centrica's contractual covenant of 2030 and have logged it as a deviation. We would welcome dialogue on a project-specific exemption.</w:t>
      </w:r>
    </w:p>
    <w:p>
      <w:r>
        <w:rPr>
          <w:b w:val="0"/>
          <w:i w:val="0"/>
        </w:rPr>
        <w:t>IEC 62443: alignment to SL-2 is in progress and expected to complete in Q4 2026 ahead of first commissioning. OT/IT segregation: in place at the controls platform level.</w:t>
      </w:r>
    </w:p>
    <w:p>
      <w:pPr>
        <w:pStyle w:val="Heading1"/>
      </w:pPr>
      <w:r>
        <w:rPr>
          <w:rFonts w:ascii="Arial" w:hAnsi="Arial"/>
          <w:color w:val="0F2067"/>
        </w:rPr>
        <w:t>8. Social Value</w:t>
      </w:r>
    </w:p>
    <w:p>
      <w:r>
        <w:rPr>
          <w:b w:val="0"/>
          <w:i w:val="0"/>
        </w:rPr>
        <w:t>44 UK apprentices in the last 3 years. Local sub-contractor commitment: 18% Cluster A, 24% Cluster C. STEM outreach: Coventry University engineering faculty partnership.</w:t>
      </w:r>
    </w:p>
    <w:p>
      <w:r>
        <w:br w:type="page"/>
      </w:r>
    </w:p>
    <w:p>
      <w:pPr>
        <w:pStyle w:val="Heading1"/>
      </w:pPr>
      <w:r>
        <w:rPr>
          <w:rFonts w:ascii="Arial" w:hAnsi="Arial"/>
          <w:color w:val="0F2067"/>
        </w:rPr>
        <w:t>9. Deviation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F2067"/>
              </w:rPr>
              <w:t>#</w:t>
            </w:r>
          </w:p>
        </w:tc>
        <w:tc>
          <w:tcPr>
            <w:tcW w:type="dxa" w:w="1728"/>
          </w:tcPr>
          <w:p>
            <w:r>
              <w:rPr>
                <w:b/>
                <w:color w:val="0F2067"/>
              </w:rPr>
              <w:t>RFP §</w:t>
            </w:r>
          </w:p>
        </w:tc>
        <w:tc>
          <w:tcPr>
            <w:tcW w:type="dxa" w:w="1728"/>
          </w:tcPr>
          <w:p>
            <w:r>
              <w:rPr>
                <w:b/>
                <w:color w:val="0F2067"/>
              </w:rPr>
              <w:t>Centrica position</w:t>
            </w:r>
          </w:p>
        </w:tc>
        <w:tc>
          <w:tcPr>
            <w:tcW w:type="dxa" w:w="1728"/>
          </w:tcPr>
          <w:p>
            <w:r>
              <w:rPr>
                <w:b/>
                <w:color w:val="0F2067"/>
              </w:rPr>
              <w:t>NorthernAir position</w:t>
            </w:r>
          </w:p>
        </w:tc>
        <w:tc>
          <w:tcPr>
            <w:tcW w:type="dxa" w:w="1728"/>
          </w:tcPr>
          <w:p>
            <w:r>
              <w:rPr>
                <w:b/>
                <w:color w:val="0F2067"/>
              </w:rPr>
              <w:t>Risk owner if accepted</w:t>
            </w:r>
          </w:p>
        </w:tc>
      </w:tr>
      <w:tr>
        <w:tc>
          <w:tcPr>
            <w:tcW w:type="dxa" w:w="1728"/>
          </w:tcPr>
          <w:p>
            <w:r>
              <w:t>1</w:t>
            </w:r>
          </w:p>
        </w:tc>
        <w:tc>
          <w:tcPr>
            <w:tcW w:type="dxa" w:w="1728"/>
          </w:tcPr>
          <w:p>
            <w:r>
              <w:t>§1 Liability cap</w:t>
            </w:r>
          </w:p>
        </w:tc>
        <w:tc>
          <w:tcPr>
            <w:tcW w:type="dxa" w:w="1728"/>
          </w:tcPr>
          <w:p>
            <w:r>
              <w:t>125%</w:t>
            </w:r>
          </w:p>
        </w:tc>
        <w:tc>
          <w:tcPr>
            <w:tcW w:type="dxa" w:w="1728"/>
          </w:tcPr>
          <w:p>
            <w:r>
              <w:t>100%</w:t>
            </w:r>
          </w:p>
        </w:tc>
        <w:tc>
          <w:tcPr>
            <w:tcW w:type="dxa" w:w="1728"/>
          </w:tcPr>
          <w:p>
            <w:r>
              <w:t>Procurement</w:t>
            </w:r>
          </w:p>
        </w:tc>
      </w:tr>
      <w:tr>
        <w:tc>
          <w:tcPr>
            <w:tcW w:type="dxa" w:w="1728"/>
          </w:tcPr>
          <w:p>
            <w:r>
              <w:t>2</w:t>
            </w:r>
          </w:p>
        </w:tc>
        <w:tc>
          <w:tcPr>
            <w:tcW w:type="dxa" w:w="1728"/>
          </w:tcPr>
          <w:p>
            <w:r>
              <w:t>§3 Payment terms</w:t>
            </w:r>
          </w:p>
        </w:tc>
        <w:tc>
          <w:tcPr>
            <w:tcW w:type="dxa" w:w="1728"/>
          </w:tcPr>
          <w:p>
            <w:r>
              <w:t>Net 60</w:t>
            </w:r>
          </w:p>
        </w:tc>
        <w:tc>
          <w:tcPr>
            <w:tcW w:type="dxa" w:w="1728"/>
          </w:tcPr>
          <w:p>
            <w:r>
              <w:t>Net 30</w:t>
            </w:r>
          </w:p>
        </w:tc>
        <w:tc>
          <w:tcPr>
            <w:tcW w:type="dxa" w:w="1728"/>
          </w:tcPr>
          <w:p>
            <w:r>
              <w:t>Finance</w:t>
            </w:r>
          </w:p>
        </w:tc>
      </w:tr>
      <w:tr>
        <w:tc>
          <w:tcPr>
            <w:tcW w:type="dxa" w:w="1728"/>
          </w:tcPr>
          <w:p>
            <w:r>
              <w:t>3</w:t>
            </w:r>
          </w:p>
        </w:tc>
        <w:tc>
          <w:tcPr>
            <w:tcW w:type="dxa" w:w="1728"/>
          </w:tcPr>
          <w:p>
            <w:r>
              <w:t>§4 Step-in notice</w:t>
            </w:r>
          </w:p>
        </w:tc>
        <w:tc>
          <w:tcPr>
            <w:tcW w:type="dxa" w:w="1728"/>
          </w:tcPr>
          <w:p>
            <w:r>
              <w:t>20 Business Days</w:t>
            </w:r>
          </w:p>
        </w:tc>
        <w:tc>
          <w:tcPr>
            <w:tcW w:type="dxa" w:w="1728"/>
          </w:tcPr>
          <w:p>
            <w:r>
              <w:t>14 Business Days</w:t>
            </w:r>
          </w:p>
        </w:tc>
        <w:tc>
          <w:tcPr>
            <w:tcW w:type="dxa" w:w="1728"/>
          </w:tcPr>
          <w:p>
            <w:r>
              <w:t>Legal</w:t>
            </w:r>
          </w:p>
        </w:tc>
      </w:tr>
      <w:tr>
        <w:tc>
          <w:tcPr>
            <w:tcW w:type="dxa" w:w="1728"/>
          </w:tcPr>
          <w:p>
            <w:r>
              <w:t>4</w:t>
            </w:r>
          </w:p>
        </w:tc>
        <w:tc>
          <w:tcPr>
            <w:tcW w:type="dxa" w:w="1728"/>
          </w:tcPr>
          <w:p>
            <w:r>
              <w:t>§6(d) F-Gas phase-down</w:t>
            </w:r>
          </w:p>
        </w:tc>
        <w:tc>
          <w:tcPr>
            <w:tcW w:type="dxa" w:w="1728"/>
          </w:tcPr>
          <w:p>
            <w:r>
              <w:t>≤ 2030 GWP 150</w:t>
            </w:r>
          </w:p>
        </w:tc>
        <w:tc>
          <w:tcPr>
            <w:tcW w:type="dxa" w:w="1728"/>
          </w:tcPr>
          <w:p>
            <w:r>
              <w:t>≤ 2032 GWP 150</w:t>
            </w:r>
          </w:p>
        </w:tc>
        <w:tc>
          <w:tcPr>
            <w:tcW w:type="dxa" w:w="1728"/>
          </w:tcPr>
          <w:p>
            <w:r>
              <w:t>ESG (Rob Fenwick)</w:t>
            </w:r>
          </w:p>
        </w:tc>
      </w:tr>
      <w:tr>
        <w:tc>
          <w:tcPr>
            <w:tcW w:type="dxa" w:w="1728"/>
          </w:tcPr>
          <w:p>
            <w:r>
              <w:t>5</w:t>
            </w:r>
          </w:p>
        </w:tc>
        <w:tc>
          <w:tcPr>
            <w:tcW w:type="dxa" w:w="1728"/>
          </w:tcPr>
          <w:p>
            <w:r>
              <w:t>§8 PI insurance</w:t>
            </w:r>
          </w:p>
        </w:tc>
        <w:tc>
          <w:tcPr>
            <w:tcW w:type="dxa" w:w="1728"/>
          </w:tcPr>
          <w:p>
            <w:r>
              <w:t>≥ £25m</w:t>
            </w:r>
          </w:p>
        </w:tc>
        <w:tc>
          <w:tcPr>
            <w:tcW w:type="dxa" w:w="1728"/>
          </w:tcPr>
          <w:p>
            <w:r>
              <w:t>£15m</w:t>
            </w:r>
          </w:p>
        </w:tc>
        <w:tc>
          <w:tcPr>
            <w:tcW w:type="dxa" w:w="1728"/>
          </w:tcPr>
          <w:p>
            <w:r>
              <w:t>Risk (Aisha Bello)</w:t>
            </w:r>
          </w:p>
        </w:tc>
      </w:tr>
    </w:tbl>
    <w:p>
      <w:pPr>
        <w:pStyle w:val="Heading1"/>
      </w:pPr>
      <w:r>
        <w:rPr>
          <w:rFonts w:ascii="Arial" w:hAnsi="Arial"/>
          <w:color w:val="0F2067"/>
        </w:rPr>
        <w:t>Signature</w:t>
      </w:r>
    </w:p>
    <w:p>
      <w:r>
        <w:rPr>
          <w:b/>
          <w:i w:val="0"/>
        </w:rPr>
        <w:t>Helmut Bauer, Group Programme Director — NorthernAir Solutions GmbH</w:t>
      </w:r>
    </w:p>
    <w:p>
      <w:r>
        <w:rPr>
          <w:b w:val="0"/>
          <w:i/>
        </w:rPr>
        <w:t>Electronically signed via DocuSign envelope #NA-2026-0619-228, 19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1A891A9DDF524B877BD2DE744B7F1C" ma:contentTypeVersion="11" ma:contentTypeDescription="Create a new document." ma:contentTypeScope="" ma:versionID="d05dc3f4bbd5703059019f8ea97ab5be">
  <xsd:schema xmlns:xsd="http://www.w3.org/2001/XMLSchema" xmlns:xs="http://www.w3.org/2001/XMLSchema" xmlns:p="http://schemas.microsoft.com/office/2006/metadata/properties" xmlns:ns2="62d85e2f-f5ce-4891-be64-95b37545e666" xmlns:ns3="3f6bdf70-20f4-4edf-a08d-69bb46350bc9" targetNamespace="http://schemas.microsoft.com/office/2006/metadata/properties" ma:root="true" ma:fieldsID="fb2d7dc318071df20413df200055c9d6" ns2:_="" ns3:_="">
    <xsd:import namespace="62d85e2f-f5ce-4891-be64-95b37545e666"/>
    <xsd:import namespace="3f6bdf70-20f4-4edf-a08d-69bb46350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85e2f-f5ce-4891-be64-95b37545e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6bdf70-20f4-4edf-a08d-69bb46350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684265-d12b-449b-946f-503c8077d959}" ma:internalName="TaxCatchAll" ma:showField="CatchAllData" ma:web="3f6bdf70-20f4-4edf-a08d-69bb46350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6bdf70-20f4-4edf-a08d-69bb46350bc9" xsi:nil="true"/>
    <lcf76f155ced4ddcb4097134ff3c332f xmlns="62d85e2f-f5ce-4891-be64-95b37545e6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BA3C0F-E742-408B-9395-23F7CF9D4A9E}"/>
</file>

<file path=customXml/itemProps3.xml><?xml version="1.0" encoding="utf-8"?>
<ds:datastoreItem xmlns:ds="http://schemas.openxmlformats.org/officeDocument/2006/customXml" ds:itemID="{F75CF8BB-EC50-4151-9C46-5CE708282468}"/>
</file>

<file path=customXml/itemProps4.xml><?xml version="1.0" encoding="utf-8"?>
<ds:datastoreItem xmlns:ds="http://schemas.openxmlformats.org/officeDocument/2006/customXml" ds:itemID="{5E5F85D2-3C23-40E2-9FD7-BAA4E6CC3AB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0x010100DE1A891A9DDF524B877BD2DE744B7F1C</vt:lpwstr>
  </property>
</Properties>
</file>