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anexo-i-escopo-do-projeto"/>
    <w:p>
      <w:pPr>
        <w:pStyle w:val="Heading1"/>
      </w:pPr>
      <w:r>
        <w:t xml:space="preserve">Anexo I — Escopo do Projeto</w:t>
      </w:r>
    </w:p>
    <w:bookmarkStart w:id="20" w:name="X2bb71ba00e36e7a058b0e89d714b3d1ba6136dc"/>
    <w:p>
      <w:pPr>
        <w:pStyle w:val="Heading2"/>
      </w:pPr>
      <w:r>
        <w:t xml:space="preserve">MINUTA — Sistema de IA para petição inicial, réplica e recursos</w:t>
      </w:r>
    </w:p>
    <w:p>
      <w:pPr>
        <w:pStyle w:val="FirstParagraph"/>
      </w:pPr>
      <w:r>
        <w:rPr>
          <w:bCs/>
          <w:b/>
        </w:rPr>
        <w:t xml:space="preserve">Contratante:</w:t>
      </w:r>
      <w:r>
        <w:t xml:space="preserve"> </w:t>
      </w:r>
      <w:r>
        <w:t xml:space="preserve">A. Cunha Advocacia</w:t>
      </w:r>
      <w:r>
        <w:t xml:space="preserve"> </w:t>
      </w:r>
      <w:r>
        <w:rPr>
          <w:bCs/>
          <w:b/>
        </w:rPr>
        <w:t xml:space="preserve">Prestador:</w:t>
      </w:r>
      <w:r>
        <w:t xml:space="preserve"> </w:t>
      </w:r>
      <w:r>
        <w:t xml:space="preserve">Nicolas Cunha (IRBIS)</w:t>
      </w:r>
    </w:p>
    <w:p>
      <w:pPr>
        <w:pStyle w:val="BodyText"/>
      </w:pPr>
      <w:r>
        <w:t xml:space="preserve">Este anexo é parte integrante do Contrato de Prestação de Serviços de Desenvolvimento de Software. O que não está descrito aqui não está contratado. Qualquer item fora deste anexo segue a Cláusula 4 do contrato (aditivo).</w:t>
      </w:r>
    </w:p>
    <w:p>
      <w:r>
        <w:pict>
          <v:rect style="width:0;height:1.5pt" o:hralign="center" o:hrstd="t" o:hr="t"/>
        </w:pict>
      </w:r>
    </w:p>
    <w:bookmarkEnd w:id="20"/>
    <w:bookmarkStart w:id="21" w:name="o-que-é-o-minuta"/>
    <w:p>
      <w:pPr>
        <w:pStyle w:val="Heading2"/>
      </w:pPr>
      <w:r>
        <w:t xml:space="preserve">O que é o MINUTA</w:t>
      </w:r>
    </w:p>
    <w:p>
      <w:pPr>
        <w:pStyle w:val="FirstParagraph"/>
      </w:pPr>
      <w:r>
        <w:t xml:space="preserve">Sistema interno do escritório para gerar minutas de petição inicial, réplica e recursos, no padrão de redação da própria casa, com pesquisa de jurisprudência com fonte conferível.</w:t>
      </w:r>
    </w:p>
    <w:p>
      <w:pPr>
        <w:pStyle w:val="BodyText"/>
      </w:pPr>
      <w:r>
        <w:rPr>
          <w:bCs/>
          <w:b/>
        </w:rPr>
        <w:t xml:space="preserve">Área coberta:</w:t>
      </w:r>
      <w:r>
        <w:t xml:space="preserve"> </w:t>
      </w:r>
      <w:r>
        <w:t xml:space="preserve">direito do trabalho, contencioso bancário, atuando pelo reclamante. Outras áreas seguem a Cláusula 4 (aditivo).</w:t>
      </w:r>
    </w:p>
    <w:p>
      <w:pPr>
        <w:pStyle w:val="BodyText"/>
      </w:pPr>
      <w:r>
        <w:rPr>
          <w:bCs/>
          <w:b/>
        </w:rPr>
        <w:t xml:space="preserve">Usuários:</w:t>
      </w:r>
      <w:r>
        <w:t xml:space="preserve"> </w:t>
      </w:r>
      <w:r>
        <w:t xml:space="preserve">as 3 advogadas do escritório, com login próprio. Até 5 usuários sem impacto neste escopo.</w:t>
      </w:r>
    </w:p>
    <w:p>
      <w:pPr>
        <w:pStyle w:val="BodyText"/>
      </w:pPr>
      <w:r>
        <w:rPr>
          <w:bCs/>
          <w:b/>
        </w:rPr>
        <w:t xml:space="preserve">Uso:</w:t>
      </w:r>
      <w:r>
        <w:t xml:space="preserve"> </w:t>
      </w:r>
      <w:r>
        <w:t xml:space="preserve">interno do escritório, sem revenda nem comercialização a terceiros.</w:t>
      </w:r>
    </w:p>
    <w:p>
      <w:r>
        <w:pict>
          <v:rect style="width:0;height:1.5pt" o:hralign="center" o:hrstd="t" o:hr="t"/>
        </w:pict>
      </w:r>
    </w:p>
    <w:bookmarkEnd w:id="21"/>
    <w:bookmarkStart w:id="28" w:name="módulos-incluídos-escopo-fechado"/>
    <w:p>
      <w:pPr>
        <w:pStyle w:val="Heading2"/>
      </w:pPr>
      <w:r>
        <w:t xml:space="preserve">Módulos incluídos (escopo fechado)</w:t>
      </w:r>
    </w:p>
    <w:bookmarkStart w:id="22" w:name="painel-do-escritório"/>
    <w:p>
      <w:pPr>
        <w:pStyle w:val="Heading3"/>
      </w:pPr>
      <w:r>
        <w:t xml:space="preserve">1. Painel do escritório</w:t>
      </w:r>
    </w:p>
    <w:p>
      <w:pPr>
        <w:numPr>
          <w:ilvl w:val="0"/>
          <w:numId w:val="1001"/>
        </w:numPr>
        <w:pStyle w:val="Compact"/>
      </w:pPr>
      <w:r>
        <w:t xml:space="preserve">Login individual por advogada.</w:t>
      </w:r>
    </w:p>
    <w:p>
      <w:pPr>
        <w:numPr>
          <w:ilvl w:val="0"/>
          <w:numId w:val="1001"/>
        </w:numPr>
        <w:pStyle w:val="Compact"/>
      </w:pPr>
      <w:r>
        <w:t xml:space="preserve">Cadastro de processo: número, cliente, cargo do reclamante, tribunal e vara, fase e status.</w:t>
      </w:r>
    </w:p>
    <w:p>
      <w:pPr>
        <w:numPr>
          <w:ilvl w:val="0"/>
          <w:numId w:val="1001"/>
        </w:numPr>
        <w:pStyle w:val="Compact"/>
      </w:pPr>
      <w:r>
        <w:t xml:space="preserve">Upload e armazenamento dos documentos do caso.</w:t>
      </w:r>
    </w:p>
    <w:p>
      <w:pPr>
        <w:numPr>
          <w:ilvl w:val="0"/>
          <w:numId w:val="1001"/>
        </w:numPr>
        <w:pStyle w:val="Compact"/>
      </w:pPr>
      <w:r>
        <w:t xml:space="preserve">Histórico das peças geradas por processo.</w:t>
      </w:r>
    </w:p>
    <w:p>
      <w:pPr>
        <w:numPr>
          <w:ilvl w:val="0"/>
          <w:numId w:val="1001"/>
        </w:numPr>
        <w:pStyle w:val="Compact"/>
      </w:pPr>
      <w:r>
        <w:t xml:space="preserve">Resumo processual por caso, gerado a partir dos documentos anexados.</w:t>
      </w:r>
    </w:p>
    <w:bookmarkEnd w:id="22"/>
    <w:bookmarkStart w:id="23" w:name="base-da-casa-memória-do-escritório"/>
    <w:p>
      <w:pPr>
        <w:pStyle w:val="Heading3"/>
      </w:pPr>
      <w:r>
        <w:t xml:space="preserve">2. Base da casa (memória do escritório)</w:t>
      </w:r>
    </w:p>
    <w:p>
      <w:pPr>
        <w:numPr>
          <w:ilvl w:val="0"/>
          <w:numId w:val="1002"/>
        </w:numPr>
        <w:pStyle w:val="Compact"/>
      </w:pPr>
      <w:r>
        <w:t xml:space="preserve">Os modelos por cargo, as teses e as jurisprudências do escritório são carregados no sistema e passam a servir de referência para toda peça gerada.</w:t>
      </w:r>
    </w:p>
    <w:p>
      <w:pPr>
        <w:numPr>
          <w:ilvl w:val="0"/>
          <w:numId w:val="1002"/>
        </w:numPr>
        <w:pStyle w:val="Compact"/>
      </w:pPr>
      <w:r>
        <w:t xml:space="preserve">Volume coberto e formato aceito estão na seção</w:t>
      </w:r>
      <w:r>
        <w:t xml:space="preserve"> </w:t>
      </w:r>
      <w:r>
        <w:rPr>
          <w:bCs/>
          <w:b/>
        </w:rPr>
        <w:t xml:space="preserve">Volume da migração</w:t>
      </w:r>
      <w:r>
        <w:t xml:space="preserve">.</w:t>
      </w:r>
    </w:p>
    <w:bookmarkEnd w:id="23"/>
    <w:bookmarkStart w:id="24" w:name="petição-inicial"/>
    <w:p>
      <w:pPr>
        <w:pStyle w:val="Heading3"/>
      </w:pPr>
      <w:r>
        <w:t xml:space="preserve">3. Petição inicial</w:t>
      </w:r>
    </w:p>
    <w:p>
      <w:pPr>
        <w:numPr>
          <w:ilvl w:val="0"/>
          <w:numId w:val="1003"/>
        </w:numPr>
        <w:pStyle w:val="Compact"/>
      </w:pPr>
      <w:r>
        <w:t xml:space="preserve">Geração de minuta completa no template do escritório, a partir dos dados do caso, dos documentos anexados e da base da casa.</w:t>
      </w:r>
    </w:p>
    <w:bookmarkEnd w:id="24"/>
    <w:bookmarkStart w:id="25" w:name="réplica-e-manifestações"/>
    <w:p>
      <w:pPr>
        <w:pStyle w:val="Heading3"/>
      </w:pPr>
      <w:r>
        <w:t xml:space="preserve">4. Réplica e manifestações</w:t>
      </w:r>
    </w:p>
    <w:p>
      <w:pPr>
        <w:numPr>
          <w:ilvl w:val="0"/>
          <w:numId w:val="1004"/>
        </w:numPr>
        <w:pStyle w:val="Compact"/>
      </w:pPr>
      <w:r>
        <w:t xml:space="preserve">Leitura da contestação e dos documentos juntados pela parte contrária.</w:t>
      </w:r>
    </w:p>
    <w:p>
      <w:pPr>
        <w:numPr>
          <w:ilvl w:val="0"/>
          <w:numId w:val="1004"/>
        </w:numPr>
        <w:pStyle w:val="Compact"/>
      </w:pPr>
      <w:r>
        <w:t xml:space="preserve">Resposta tópico por tópico e por ID de documento, com impugnação redigida.</w:t>
      </w:r>
    </w:p>
    <w:bookmarkEnd w:id="25"/>
    <w:bookmarkStart w:id="26" w:name="recursos"/>
    <w:p>
      <w:pPr>
        <w:pStyle w:val="Heading3"/>
      </w:pPr>
      <w:r>
        <w:t xml:space="preserve">5. Recursos</w:t>
      </w:r>
    </w:p>
    <w:p>
      <w:pPr>
        <w:numPr>
          <w:ilvl w:val="0"/>
          <w:numId w:val="1005"/>
        </w:numPr>
        <w:pStyle w:val="Compact"/>
      </w:pPr>
      <w:r>
        <w:t xml:space="preserve">Geração de minuta de</w:t>
      </w:r>
      <w:r>
        <w:t xml:space="preserve"> </w:t>
      </w:r>
      <w:r>
        <w:rPr>
          <w:bCs/>
          <w:b/>
        </w:rPr>
        <w:t xml:space="preserve">Recurso Ordinário (TRT)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Recurso de Revista (TST)</w:t>
      </w:r>
      <w:r>
        <w:t xml:space="preserve">, a partir da sentença ou do acórdão anexado.</w:t>
      </w:r>
    </w:p>
    <w:p>
      <w:pPr>
        <w:numPr>
          <w:ilvl w:val="0"/>
          <w:numId w:val="1005"/>
        </w:numPr>
        <w:pStyle w:val="Compact"/>
      </w:pPr>
      <w:r>
        <w:t xml:space="preserve">Outras espécies recursais não fazem parte deste escopo (ver</w:t>
      </w:r>
      <w:r>
        <w:t xml:space="preserve"> </w:t>
      </w:r>
      <w:r>
        <w:rPr>
          <w:bCs/>
          <w:b/>
        </w:rPr>
        <w:t xml:space="preserve">O que fica fora</w:t>
      </w:r>
      <w:r>
        <w:t xml:space="preserve">).</w:t>
      </w:r>
    </w:p>
    <w:bookmarkEnd w:id="26"/>
    <w:bookmarkStart w:id="27" w:name="jurisprudência-com-fonte"/>
    <w:p>
      <w:pPr>
        <w:pStyle w:val="Heading3"/>
      </w:pPr>
      <w:r>
        <w:t xml:space="preserve">6. Jurisprudência com fonte</w:t>
      </w:r>
    </w:p>
    <w:p>
      <w:pPr>
        <w:numPr>
          <w:ilvl w:val="0"/>
          <w:numId w:val="1006"/>
        </w:numPr>
        <w:pStyle w:val="Compact"/>
      </w:pPr>
      <w:r>
        <w:t xml:space="preserve">Busca em bases públicas de jurisprudência dos tribunais, com prioridade para TRT 2, TRT 15 e TST.</w:t>
      </w:r>
    </w:p>
    <w:p>
      <w:pPr>
        <w:numPr>
          <w:ilvl w:val="0"/>
          <w:numId w:val="1006"/>
        </w:numPr>
        <w:pStyle w:val="Compact"/>
      </w:pPr>
      <w:r>
        <w:t xml:space="preserve">Toda citação sai com número do processo, órgão julgador, data e link para a fonte.</w:t>
      </w:r>
    </w:p>
    <w:p>
      <w:pPr>
        <w:numPr>
          <w:ilvl w:val="0"/>
          <w:numId w:val="1006"/>
        </w:numPr>
        <w:pStyle w:val="Compact"/>
      </w:pPr>
      <w:r>
        <w:t xml:space="preserve">O sistema não cita de memória: quando não encontra a fonte, não cita.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volume-da-migração-da-base"/>
    <w:p>
      <w:pPr>
        <w:pStyle w:val="Heading2"/>
      </w:pPr>
      <w:r>
        <w:t xml:space="preserve">Volume da migração da base</w:t>
      </w:r>
    </w:p>
    <w:p>
      <w:pPr>
        <w:pStyle w:val="FirstParagraph"/>
      </w:pPr>
      <w:r>
        <w:t xml:space="preserve">A migração da base da casa cobre, neste contrato:</w:t>
      </w:r>
    </w:p>
    <w:p>
      <w:pPr>
        <w:numPr>
          <w:ilvl w:val="0"/>
          <w:numId w:val="1007"/>
        </w:numPr>
        <w:pStyle w:val="Compact"/>
      </w:pPr>
      <w:r>
        <w:t xml:space="preserve">até</w:t>
      </w:r>
      <w:r>
        <w:t xml:space="preserve"> </w:t>
      </w:r>
      <w:r>
        <w:rPr>
          <w:bCs/>
          <w:b/>
        </w:rPr>
        <w:t xml:space="preserve">40 modelos de peça</w:t>
      </w:r>
      <w:r>
        <w:t xml:space="preserve">, organizados por cargo;</w:t>
      </w:r>
    </w:p>
    <w:p>
      <w:pPr>
        <w:numPr>
          <w:ilvl w:val="0"/>
          <w:numId w:val="1007"/>
        </w:numPr>
        <w:pStyle w:val="Compact"/>
      </w:pPr>
      <w:r>
        <w:t xml:space="preserve">até</w:t>
      </w:r>
      <w:r>
        <w:t xml:space="preserve"> </w:t>
      </w:r>
      <w:r>
        <w:rPr>
          <w:bCs/>
          <w:b/>
        </w:rPr>
        <w:t xml:space="preserve">30 teses</w:t>
      </w:r>
      <w:r>
        <w:t xml:space="preserve">;</w:t>
      </w:r>
    </w:p>
    <w:p>
      <w:pPr>
        <w:numPr>
          <w:ilvl w:val="0"/>
          <w:numId w:val="1007"/>
        </w:numPr>
        <w:pStyle w:val="Compact"/>
      </w:pPr>
      <w:r>
        <w:t xml:space="preserve">até</w:t>
      </w:r>
      <w:r>
        <w:t xml:space="preserve"> </w:t>
      </w:r>
      <w:r>
        <w:rPr>
          <w:bCs/>
          <w:b/>
        </w:rPr>
        <w:t xml:space="preserve">60 jurisprudências</w:t>
      </w:r>
      <w:r>
        <w:t xml:space="preserve">.</w:t>
      </w:r>
    </w:p>
    <w:p>
      <w:pPr>
        <w:pStyle w:val="FirstParagraph"/>
      </w:pPr>
      <w:r>
        <w:t xml:space="preserve">O material é entregue pelo escritório em</w:t>
      </w:r>
      <w:r>
        <w:t xml:space="preserve"> </w:t>
      </w:r>
      <w:r>
        <w:rPr>
          <w:bCs/>
          <w:b/>
        </w:rPr>
        <w:t xml:space="preserve">uma única pasta</w:t>
      </w:r>
      <w:r>
        <w:t xml:space="preserve"> </w:t>
      </w:r>
      <w:r>
        <w:t xml:space="preserve">no Google Drive ou OneDrive, em formato de texto pesquisável (.docx, .pdf com texto, .txt).</w:t>
      </w:r>
    </w:p>
    <w:p>
      <w:pPr>
        <w:pStyle w:val="BodyText"/>
      </w:pPr>
      <w:r>
        <w:t xml:space="preserve">Não entram na migração: material em papel, manuscrito, imagem escaneada sem texto pesquisável e arquivos em formato não pesquisável. Volume acima dos limites acima segue a Cláusula 4 (aditivo).</w:t>
      </w:r>
    </w:p>
    <w:p>
      <w:r>
        <w:pict>
          <v:rect style="width:0;height:1.5pt" o:hralign="center" o:hrstd="t" o:hr="t"/>
        </w:pict>
      </w:r>
    </w:p>
    <w:bookmarkEnd w:id="29"/>
    <w:bookmarkStart w:id="30" w:name="ajuste-de-formato-até-o-padrão-da-casa"/>
    <w:p>
      <w:pPr>
        <w:pStyle w:val="Heading2"/>
      </w:pPr>
      <w:r>
        <w:t xml:space="preserve">Ajuste de formato até o padrão da casa</w:t>
      </w:r>
    </w:p>
    <w:p>
      <w:pPr>
        <w:pStyle w:val="FirstParagraph"/>
      </w:pPr>
      <w:r>
        <w:t xml:space="preserve">O ajuste do formato da peça até o padrão que vai ao juiz é feito por rodadas:</w:t>
      </w:r>
    </w:p>
    <w:p>
      <w:pPr>
        <w:numPr>
          <w:ilvl w:val="0"/>
          <w:numId w:val="1008"/>
        </w:numPr>
        <w:pStyle w:val="Compact"/>
      </w:pPr>
      <w:r>
        <w:t xml:space="preserve">até</w:t>
      </w:r>
      <w:r>
        <w:t xml:space="preserve"> </w:t>
      </w:r>
      <w:r>
        <w:rPr>
          <w:bCs/>
          <w:b/>
        </w:rPr>
        <w:t xml:space="preserve">3 rodadas por tipo de peça</w:t>
      </w:r>
      <w:r>
        <w:t xml:space="preserve"> </w:t>
      </w:r>
      <w:r>
        <w:t xml:space="preserve">(petição inicial, réplica, recurso), 9 rodadas no total;</w:t>
      </w:r>
    </w:p>
    <w:p>
      <w:pPr>
        <w:numPr>
          <w:ilvl w:val="0"/>
          <w:numId w:val="1008"/>
        </w:numPr>
        <w:pStyle w:val="Compact"/>
      </w:pPr>
      <w:r>
        <w:t xml:space="preserve">cada rodada é</w:t>
      </w:r>
      <w:r>
        <w:t xml:space="preserve"> </w:t>
      </w:r>
      <w:r>
        <w:rPr>
          <w:bCs/>
          <w:b/>
        </w:rPr>
        <w:t xml:space="preserve">uma lista consolidada de ajustes</w:t>
      </w:r>
      <w:r>
        <w:t xml:space="preserve">, enviada de uma vez, por escrito;</w:t>
      </w:r>
    </w:p>
    <w:p>
      <w:pPr>
        <w:numPr>
          <w:ilvl w:val="0"/>
          <w:numId w:val="1008"/>
        </w:numPr>
        <w:pStyle w:val="Compact"/>
      </w:pPr>
      <w:r>
        <w:t xml:space="preserve">o escritório tem até</w:t>
      </w:r>
      <w:r>
        <w:t xml:space="preserve"> </w:t>
      </w:r>
      <w:r>
        <w:rPr>
          <w:bCs/>
          <w:b/>
        </w:rPr>
        <w:t xml:space="preserve">5 dias úteis</w:t>
      </w:r>
      <w:r>
        <w:t xml:space="preserve"> </w:t>
      </w:r>
      <w:r>
        <w:t xml:space="preserve">para devolver cada lista. Passado esse prazo sem retorno, a rodada é considerada aprovada;</w:t>
      </w:r>
    </w:p>
    <w:p>
      <w:pPr>
        <w:numPr>
          <w:ilvl w:val="0"/>
          <w:numId w:val="1008"/>
        </w:numPr>
        <w:pStyle w:val="Compact"/>
      </w:pPr>
      <w:r>
        <w:t xml:space="preserve">rodadas adicionais entram no pacote de acompanhamento mensal (3h/mês) ou são cobradas por hora avulsa, conforme a Cláusula 5 do contrato.</w:t>
      </w:r>
    </w:p>
    <w:p>
      <w:r>
        <w:pict>
          <v:rect style="width:0;height:1.5pt" o:hralign="center" o:hrstd="t" o:hr="t"/>
        </w:pict>
      </w:r>
    </w:p>
    <w:bookmarkEnd w:id="30"/>
    <w:bookmarkStart w:id="31" w:name="X575062165e3d85273839768f7aa826c0f6a9838"/>
    <w:p>
      <w:pPr>
        <w:pStyle w:val="Heading2"/>
      </w:pPr>
      <w:r>
        <w:t xml:space="preserve">Quando uma peça é considerada pronta (critério de aceite)</w:t>
      </w:r>
    </w:p>
    <w:p>
      <w:pPr>
        <w:pStyle w:val="FirstParagraph"/>
      </w:pPr>
      <w:r>
        <w:t xml:space="preserve">Uma peça está</w:t>
      </w:r>
      <w:r>
        <w:t xml:space="preserve"> </w:t>
      </w:r>
      <w:r>
        <w:rPr>
          <w:bCs/>
          <w:b/>
        </w:rPr>
        <w:t xml:space="preserve">pronta para revisão</w:t>
      </w:r>
      <w:r>
        <w:t xml:space="preserve"> </w:t>
      </w:r>
      <w:r>
        <w:t xml:space="preserve">quando, ao mesmo tempo:</w:t>
      </w:r>
    </w:p>
    <w:p>
      <w:pPr>
        <w:numPr>
          <w:ilvl w:val="0"/>
          <w:numId w:val="1009"/>
        </w:numPr>
        <w:pStyle w:val="Compact"/>
      </w:pPr>
      <w:r>
        <w:t xml:space="preserve">sai no template do escritório, com as seções na ordem do padrão da casa;</w:t>
      </w:r>
    </w:p>
    <w:p>
      <w:pPr>
        <w:numPr>
          <w:ilvl w:val="0"/>
          <w:numId w:val="1009"/>
        </w:numPr>
        <w:pStyle w:val="Compact"/>
      </w:pPr>
      <w:r>
        <w:t xml:space="preserve">endereça todos os tópicos e pedidos identificáveis nos documentos do caso anexados ao sistema;</w:t>
      </w:r>
    </w:p>
    <w:p>
      <w:pPr>
        <w:numPr>
          <w:ilvl w:val="0"/>
          <w:numId w:val="1009"/>
        </w:numPr>
        <w:pStyle w:val="Compact"/>
      </w:pPr>
      <w:r>
        <w:t xml:space="preserve">traz cada citação de jurisprudência com número do processo, órgão julgador e link conferível;</w:t>
      </w:r>
    </w:p>
    <w:p>
      <w:pPr>
        <w:numPr>
          <w:ilvl w:val="0"/>
          <w:numId w:val="1009"/>
        </w:numPr>
        <w:pStyle w:val="Compact"/>
      </w:pPr>
      <w:r>
        <w:t xml:space="preserve">é gerada em</w:t>
      </w:r>
      <w:r>
        <w:t xml:space="preserve"> </w:t>
      </w:r>
      <w:r>
        <w:rPr>
          <w:bCs/>
          <w:b/>
        </w:rPr>
        <w:t xml:space="preserve">menos de 1 dia útil</w:t>
      </w:r>
      <w:r>
        <w:t xml:space="preserve">, contado do momento em que os documentos do caso estão no sistema.</w:t>
      </w:r>
    </w:p>
    <w:p>
      <w:pPr>
        <w:pStyle w:val="FirstParagraph"/>
      </w:pPr>
      <w:r>
        <w:t xml:space="preserve">Não fazem parte do critério de aceite: acerto do mérito, escolha de tese, estratégia processual e resultado do processo. Essas decisões são da advogada responsável.</w:t>
      </w:r>
    </w:p>
    <w:p>
      <w:r>
        <w:pict>
          <v:rect style="width:0;height:1.5pt" o:hralign="center" o:hrstd="t" o:hr="t"/>
        </w:pict>
      </w:r>
    </w:p>
    <w:bookmarkEnd w:id="31"/>
    <w:bookmarkStart w:id="32" w:name="X76af34cafce5217b0c7ee94c60219e88e342c86"/>
    <w:p>
      <w:pPr>
        <w:pStyle w:val="Heading2"/>
      </w:pPr>
      <w:r>
        <w:t xml:space="preserve">Revisão obrigatória e responsabilidade sobre o conteúdo jurídico</w:t>
      </w:r>
    </w:p>
    <w:p>
      <w:pPr>
        <w:numPr>
          <w:ilvl w:val="0"/>
          <w:numId w:val="1010"/>
        </w:numPr>
        <w:pStyle w:val="Compact"/>
      </w:pPr>
      <w:r>
        <w:t xml:space="preserve">Toda peça gerada pelo MINUTA passa por</w:t>
      </w:r>
      <w:r>
        <w:t xml:space="preserve"> </w:t>
      </w:r>
      <w:r>
        <w:rPr>
          <w:bCs/>
          <w:b/>
        </w:rPr>
        <w:t xml:space="preserve">revisão de uma advogada do escritório antes do protocolo</w:t>
      </w:r>
      <w:r>
        <w:t xml:space="preserve">. Esta é uma condição de uso do sistema, e não uma recomendação.</w:t>
      </w:r>
    </w:p>
    <w:p>
      <w:pPr>
        <w:numPr>
          <w:ilvl w:val="0"/>
          <w:numId w:val="1010"/>
        </w:numPr>
        <w:pStyle w:val="Compact"/>
      </w:pPr>
      <w:r>
        <w:t xml:space="preserve">O MINUTA é ferramenta de apoio à redação. A responsabilidade técnica, o conteúdo jurídico e o resultado de qualquer processo são do escritório e da advogada responsável pela peça.</w:t>
      </w:r>
    </w:p>
    <w:p>
      <w:pPr>
        <w:numPr>
          <w:ilvl w:val="0"/>
          <w:numId w:val="1010"/>
        </w:numPr>
        <w:pStyle w:val="Compact"/>
      </w:pPr>
      <w:r>
        <w:t xml:space="preserve">O Prestador não responde por decisão judicial, perda de prazo, erro de conteúdo em peça protocolada sem revisão, nem pelo resultado de qualquer processo.</w:t>
      </w:r>
    </w:p>
    <w:p>
      <w:r>
        <w:pict>
          <v:rect style="width:0;height:1.5pt" o:hralign="center" o:hrstd="t" o:hr="t"/>
        </w:pict>
      </w:r>
    </w:p>
    <w:bookmarkEnd w:id="32"/>
    <w:bookmarkStart w:id="33" w:name="infraestrutura-e-custo-de-uso"/>
    <w:p>
      <w:pPr>
        <w:pStyle w:val="Heading2"/>
      </w:pPr>
      <w:r>
        <w:t xml:space="preserve">Infraestrutura e custo de uso</w:t>
      </w:r>
    </w:p>
    <w:p>
      <w:pPr>
        <w:pStyle w:val="FirstParagraph"/>
      </w:pPr>
      <w:r>
        <w:t xml:space="preserve">As contas de serviço do sistema —</w:t>
      </w:r>
      <w:r>
        <w:t xml:space="preserve"> </w:t>
      </w:r>
      <w:r>
        <w:rPr>
          <w:bCs/>
          <w:b/>
        </w:rPr>
        <w:t xml:space="preserve">Anthropic (Claude)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Vercel</w:t>
      </w:r>
      <w:r>
        <w:t xml:space="preserve"> </w:t>
      </w:r>
      <w:r>
        <w:t xml:space="preserve">— ficam em nome de A. Cunha Advocacia, contratadas e pagas diretamente por ela, conforme a Cláusula 9 do contrato. O Prestador entra nessas contas como colaborador técnico.</w:t>
      </w:r>
    </w:p>
    <w:p>
      <w:pPr>
        <w:pStyle w:val="BodyText"/>
      </w:pPr>
      <w:r>
        <w:t xml:space="preserve">O consumo da API do Claude é</w:t>
      </w:r>
      <w:r>
        <w:t xml:space="preserve"> </w:t>
      </w:r>
      <w:r>
        <w:rPr>
          <w:bCs/>
          <w:b/>
        </w:rPr>
        <w:t xml:space="preserve">variável</w:t>
      </w:r>
      <w:r>
        <w:t xml:space="preserve">: cresce com o número de peças geradas e com o tamanho dos documentos processados. Esse consumo não está incluído no valor de setup nem no pacote de acompanhamento mensal.</w:t>
      </w:r>
    </w:p>
    <w:p>
      <w:pPr>
        <w:pStyle w:val="BodyText"/>
      </w:pPr>
      <w:r>
        <w:t xml:space="preserve">Até o fim da fase 2, o Prestador apresenta ao escritório uma estimativa de consumo mensal com base nos primeiros casos reais rodados no sistema.</w:t>
      </w:r>
    </w:p>
    <w:p>
      <w:r>
        <w:pict>
          <v:rect style="width:0;height:1.5pt" o:hralign="center" o:hrstd="t" o:hr="t"/>
        </w:pict>
      </w:r>
    </w:p>
    <w:bookmarkEnd w:id="33"/>
    <w:bookmarkStart w:id="34" w:name="o-que-fica-fora-deste-escopo"/>
    <w:p>
      <w:pPr>
        <w:pStyle w:val="Heading2"/>
      </w:pPr>
      <w:r>
        <w:t xml:space="preserve">O que fica fora deste escopo</w:t>
      </w:r>
    </w:p>
    <w:p>
      <w:pPr>
        <w:pStyle w:val="FirstParagraph"/>
      </w:pPr>
      <w:r>
        <w:t xml:space="preserve">Os itens abaixo não estão incluídos neste contrato.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Recepção automatizada do cliente</w:t>
      </w:r>
      <w:r>
        <w:t xml:space="preserve"> </w:t>
      </w:r>
      <w:r>
        <w:t xml:space="preserve">(resumo da reunião, e-mail padrão, conferência dos documentos recebidos): possível via aditivo.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Acesso de clientes do escritório à plataforma</w:t>
      </w:r>
      <w:r>
        <w:t xml:space="preserve">: possível via aditivo.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Integração com software jurídico</w:t>
      </w:r>
      <w:r>
        <w:t xml:space="preserve"> </w:t>
      </w:r>
      <w:r>
        <w:t xml:space="preserve">(CPJ, ProJuris, Astrea ou similar): possível via aditivo.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Outras áreas além do trabalhista bancário</w:t>
      </w:r>
      <w:r>
        <w:t xml:space="preserve">: possível via aditivo.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Outras peças processuais</w:t>
      </w:r>
      <w:r>
        <w:t xml:space="preserve">: contestação, contrarrazões, embargos de declaração, agravo de instrumento, embargos à execução, cálculos de liquidação e peças de execução de valores.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Integração com o PJe e peticionamento automático</w:t>
      </w:r>
      <w:r>
        <w:t xml:space="preserve">: o sistema gera a minuta; o protocolo continua sendo feito pelo escritório.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Integração com o Jusbrasil</w:t>
      </w:r>
      <w:r>
        <w:t xml:space="preserve">: a busca de jurisprudência roda sobre bases públicas dos tribunais. Uso da conta ou da API do Jusbrasil segue a Cláusula 4.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Migração do histórico dos processos ativos</w:t>
      </w:r>
      <w:r>
        <w:t xml:space="preserve">: o sistema começa sem processos cadastrados. Os casos entram conforme o uso do dia a dia.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Aplicativo de celular</w:t>
      </w:r>
      <w:r>
        <w:t xml:space="preserve">: o sistema é acessado pelo navegador.</w:t>
      </w:r>
    </w:p>
    <w:p>
      <w:pPr>
        <w:numPr>
          <w:ilvl w:val="0"/>
          <w:numId w:val="1011"/>
        </w:numPr>
        <w:pStyle w:val="Compact"/>
      </w:pPr>
      <w:r>
        <w:t xml:space="preserve">Qualquer funcionalidade não listada nos módulos 1 a 6 acima.</w:t>
      </w:r>
    </w:p>
    <w:p>
      <w:r>
        <w:pict>
          <v:rect style="width:0;height:1.5pt" o:hralign="center" o:hrstd="t" o:hr="t"/>
        </w:pict>
      </w:r>
    </w:p>
    <w:bookmarkEnd w:id="34"/>
    <w:bookmarkStart w:id="35" w:name="prazo"/>
    <w:p>
      <w:pPr>
        <w:pStyle w:val="Heading2"/>
      </w:pPr>
      <w:r>
        <w:t xml:space="preserve">Prazo</w:t>
      </w:r>
    </w:p>
    <w:p>
      <w:pPr>
        <w:pStyle w:val="FirstParagraph"/>
      </w:pPr>
      <w:r>
        <w:t xml:space="preserve">Prazo estimado de entrega:</w:t>
      </w:r>
      <w:r>
        <w:t xml:space="preserve"> </w:t>
      </w:r>
      <w:r>
        <w:rPr>
          <w:bCs/>
          <w:b/>
        </w:rPr>
        <w:t xml:space="preserve">30 dias úteis</w:t>
      </w:r>
      <w:r>
        <w:t xml:space="preserve">, contados a partir do que ocorrer por último entre (a) a confirmação da entrada, conforme a Cláusula 3, e (b) a entrega dos acessos e do material listados abaixo.</w:t>
      </w:r>
    </w:p>
    <w:p>
      <w:pPr>
        <w:pStyle w:val="BodyText"/>
      </w:pPr>
      <w:r>
        <w:t xml:space="preserve">O prazo segue a Cláusula 6 do contrato: sempre que a entrega parar à espera de algo do escritório, o prazo fica pausado e volta a correr quando a pendência for resolvida. Cada item atrasado empurra a entrega pelo mesmo número de dias.</w:t>
      </w:r>
    </w:p>
    <w:p>
      <w:pPr>
        <w:pStyle w:val="BodyText"/>
      </w:pPr>
      <w:r>
        <w:rPr>
          <w:bCs/>
          <w:b/>
        </w:rPr>
        <w:t xml:space="preserve">Pendências que pausam o relógio:</w:t>
      </w:r>
    </w:p>
    <w:p>
      <w:pPr>
        <w:numPr>
          <w:ilvl w:val="0"/>
          <w:numId w:val="1012"/>
        </w:numPr>
        <w:pStyle w:val="Compact"/>
      </w:pPr>
      <w:r>
        <w:t xml:space="preserve">Acesso ao Google Drive e ao OneDrive onde vivem os modelos e a base de jurisprudência.</w:t>
      </w:r>
    </w:p>
    <w:p>
      <w:pPr>
        <w:numPr>
          <w:ilvl w:val="0"/>
          <w:numId w:val="1012"/>
        </w:numPr>
        <w:pStyle w:val="Compact"/>
      </w:pPr>
      <w:r>
        <w:t xml:space="preserve">Entrega da pasta única com modelos, teses e jurisprudências, no formato descrito em</w:t>
      </w:r>
      <w:r>
        <w:t xml:space="preserve"> </w:t>
      </w:r>
      <w:r>
        <w:rPr>
          <w:bCs/>
          <w:b/>
        </w:rPr>
        <w:t xml:space="preserve">Volume da migração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Contas Anthropic e Vercel criadas em nome do escritório, com o Prestador incluído como colaborador.</w:t>
      </w:r>
    </w:p>
    <w:p>
      <w:pPr>
        <w:numPr>
          <w:ilvl w:val="0"/>
          <w:numId w:val="1012"/>
        </w:numPr>
        <w:pStyle w:val="Compact"/>
      </w:pPr>
      <w:r>
        <w:t xml:space="preserve">Casos reais disponibilizados para calibrar petição inicial (fase 2) e réplica e recursos (fase 3).</w:t>
      </w:r>
    </w:p>
    <w:p>
      <w:pPr>
        <w:numPr>
          <w:ilvl w:val="0"/>
          <w:numId w:val="1012"/>
        </w:numPr>
        <w:pStyle w:val="Compact"/>
      </w:pPr>
      <w:r>
        <w:t xml:space="preserve">Devolução das listas de ajuste dentro dos 5 dias úteis de cada rodada.</w:t>
      </w:r>
    </w:p>
    <w:p>
      <w:r>
        <w:pict>
          <v:rect style="width:0;height:1.5pt" o:hralign="center" o:hrstd="t" o:hr="t"/>
        </w:pict>
      </w:r>
    </w:p>
    <w:bookmarkEnd w:id="35"/>
    <w:bookmarkStart w:id="36" w:name="fases-da-entrega"/>
    <w:p>
      <w:pPr>
        <w:pStyle w:val="Heading2"/>
      </w:pPr>
      <w:r>
        <w:t xml:space="preserve">Fases da entrega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acontece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· Aceite e entrada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Escopo assinado e entrada confirmada. O relógio começa.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· Base e primeira peça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Migração da base da casa e painel com petição inicial funcionando em casos reais.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· Réplica e recursos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Réplica e recursos calibrados com processos do próprio escritório.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· Rotina e acompanhamento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Treinamento das 3 advogadas, sistema no dia a dia e ajuste fino nas primeiras semanas.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indicadores-acompanhados"/>
    <w:p>
      <w:pPr>
        <w:pStyle w:val="Heading2"/>
      </w:pPr>
      <w:r>
        <w:t xml:space="preserve">Indicadores acompanhados</w:t>
      </w:r>
    </w:p>
    <w:p>
      <w:pPr>
        <w:pStyle w:val="FirstParagraph"/>
      </w:pPr>
      <w:r>
        <w:t xml:space="preserve">O escritório e o Prestador acompanham dois indicadores durante e após a entrega: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Número de peças geradas por mês</w:t>
      </w:r>
      <w:r>
        <w:t xml:space="preserve"> </w:t>
      </w:r>
      <w:r>
        <w:t xml:space="preserve">no sistema.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Tempo médio</w:t>
      </w:r>
      <w:r>
        <w:t xml:space="preserve"> </w:t>
      </w:r>
      <w:r>
        <w:t xml:space="preserve">entre a entrada dos documentos do caso no sistema e a peça pronta para revisão.</w:t>
      </w:r>
    </w:p>
    <w:p>
      <w:r>
        <w:pict>
          <v:rect style="width:0;height:1.5pt" o:hralign="center" o:hrstd="t" o:hr="t"/>
        </w:pict>
      </w:r>
    </w:p>
    <w:bookmarkEnd w:id="37"/>
    <w:bookmarkStart w:id="38" w:name="entrega-final"/>
    <w:p>
      <w:pPr>
        <w:pStyle w:val="Heading2"/>
      </w:pPr>
      <w:r>
        <w:t xml:space="preserve">Entrega final</w:t>
      </w:r>
    </w:p>
    <w:p>
      <w:pPr>
        <w:pStyle w:val="FirstParagraph"/>
      </w:pPr>
      <w:r>
        <w:t xml:space="preserve">Com a quitação total do valor de setup, conforme a Cláusula 7 do contrato, o Prestador entrega a A. Cunha Advocacia o código-fonte do sistema, os dados cadastrados e o acesso às contas de serviço, tudo em nome do escritório.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2026-08-01T20:38:24Z</dcterms:created>
  <dcterms:modified xsi:type="dcterms:W3CDTF">2026-08-01T20:38:24Z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