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Anexo I — Escopo do Projeto</w:t>
      </w:r>
    </w:p>
    <w:p>
      <w:pPr>
        <w:pStyle w:val="Heading2"/>
        <w:spacing w:after="120" w:before="240"/>
      </w:pPr>
      <w:r>
        <w:t xml:space="preserve">MINUTA — Sistema de IA para petição inicial, réplica e recursos</w:t>
      </w:r>
    </w:p>
    <w:p>
      <w:pPr>
        <w:spacing w:after="160"/>
      </w:pPr>
      <w:r>
        <w:rPr>
          <w:b/>
          <w:bCs/>
        </w:rPr>
        <w:t xml:space="preserve">Contratante:</w:t>
      </w:r>
      <w:r>
        <w:t xml:space="preserve"> A. Cunha Advocacia </w:t>
      </w:r>
      <w:r>
        <w:rPr>
          <w:b/>
          <w:bCs/>
        </w:rPr>
        <w:t xml:space="preserve">Prestador:</w:t>
      </w:r>
      <w:r>
        <w:t xml:space="preserve"> Nicolas Cunha (IRBIS)</w:t>
      </w:r>
    </w:p>
    <w:p>
      <w:pPr>
        <w:spacing w:after="160"/>
      </w:pPr>
      <w:r>
        <w:t xml:space="preserve">Este anexo é parte integrante do Contrato de Prestação de Serviços de Desenvolvimento de Software. O que não está descrito aqui não está contratado. Qualquer item fora deste anexo segue a Cláusula 4 do contrato (aditivo).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que é o MINUTA</w:t>
      </w:r>
    </w:p>
    <w:p>
      <w:pPr>
        <w:spacing w:after="160"/>
      </w:pPr>
      <w:r>
        <w:t xml:space="preserve">Sistema interno do escritório para gerar minutas de petição inicial, réplica e recursos, no padrão de redação da própria casa, com pesquisa de jurisprudência com fonte conferível.</w:t>
      </w:r>
    </w:p>
    <w:p>
      <w:pPr>
        <w:spacing w:after="160"/>
      </w:pPr>
      <w:r>
        <w:rPr>
          <w:b/>
          <w:bCs/>
        </w:rPr>
        <w:t xml:space="preserve">Área coberta:</w:t>
      </w:r>
      <w:r>
        <w:t xml:space="preserve"> direito do trabalho, contencioso bancário, atuando pelo reclamante. Outras áreas seguem a Cláusula 4 (aditivo).</w:t>
      </w:r>
    </w:p>
    <w:p>
      <w:pPr>
        <w:spacing w:after="160"/>
      </w:pPr>
      <w:r>
        <w:rPr>
          <w:b/>
          <w:bCs/>
        </w:rPr>
        <w:t xml:space="preserve">Usuários:</w:t>
      </w:r>
      <w:r>
        <w:t xml:space="preserve"> as 3 advogadas do escritório, com login próprio. Até 5 usuários sem impacto neste escopo.</w:t>
      </w:r>
    </w:p>
    <w:p>
      <w:pPr>
        <w:spacing w:after="160"/>
      </w:pPr>
      <w:r>
        <w:rPr>
          <w:b/>
          <w:bCs/>
        </w:rPr>
        <w:t xml:space="preserve">Uso:</w:t>
      </w:r>
      <w:r>
        <w:t xml:space="preserve"> interno do escritório, sem revenda nem comercialização a terceiros.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Módulos incluídos (escopo fechado)</w:t>
      </w:r>
    </w:p>
    <w:p>
      <w:pPr>
        <w:pStyle w:val="Heading3"/>
        <w:spacing w:after="120" w:before="240"/>
      </w:pPr>
      <w:r>
        <w:t xml:space="preserve">1. Painel do escritório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individual por advogada.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processo: número, cliente, cargo do reclamante, tribunal e vara, fase e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e armazenamento dos documentos do caso.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Histórico das peças geradas por processo.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Resumo processual por caso, gerado a partir dos documentos anexados.</w:t>
      </w:r>
    </w:p>
    <w:p>
      <w:pPr>
        <w:pStyle w:val="Heading3"/>
        <w:spacing w:after="120" w:before="240"/>
      </w:pPr>
      <w:r>
        <w:t xml:space="preserve">2. Base da casa (memória do escritório)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modelos por cargo, as teses e as jurisprudências do escritório são carregados no sistema e passam a servir de referência para toda peça gerada.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coberto e formato aceito estão na seção </w:t>
      </w:r>
      <w:r>
        <w:rPr>
          <w:b/>
          <w:bCs/>
        </w:rPr>
        <w:t xml:space="preserve">Volume da migração</w:t>
      </w:r>
      <w:r>
        <w:t xml:space="preserve">.</w:t>
      </w:r>
    </w:p>
    <w:p>
      <w:pPr>
        <w:pStyle w:val="Heading3"/>
        <w:spacing w:after="120" w:before="240"/>
      </w:pPr>
      <w:r>
        <w:t xml:space="preserve">3. Petição inicial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Geração de minuta completa no template do escritório, a partir dos dados do caso, dos documentos anexados e da base da casa.</w:t>
      </w:r>
    </w:p>
    <w:p>
      <w:pPr>
        <w:pStyle w:val="Heading3"/>
        <w:spacing w:after="120" w:before="240"/>
      </w:pPr>
      <w:r>
        <w:t xml:space="preserve">4. Réplica e manifestações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Leitura da contestação e dos documentos juntados pela parte contrária.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Resposta tópico por tópico e por ID de documento, com impugnação redigida.</w:t>
      </w:r>
    </w:p>
    <w:p>
      <w:pPr>
        <w:pStyle w:val="Heading3"/>
        <w:spacing w:after="120" w:before="240"/>
      </w:pPr>
      <w:r>
        <w:t xml:space="preserve">5. Recursos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Geração de minuta de </w:t>
      </w:r>
      <w:r>
        <w:rPr>
          <w:b/>
          <w:bCs/>
        </w:rPr>
        <w:t xml:space="preserve">Recurso Ordinário (TRT)</w:t>
      </w:r>
      <w:r>
        <w:t xml:space="preserve"> e </w:t>
      </w:r>
      <w:r>
        <w:rPr>
          <w:b/>
          <w:bCs/>
        </w:rPr>
        <w:t xml:space="preserve">Recurso de Revista (TST)</w:t>
      </w:r>
      <w:r>
        <w:t xml:space="preserve">, a partir da sentença ou do acórdão anexado.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Outras espécies recursais não fazem parte deste escopo (ver </w:t>
      </w:r>
      <w:r>
        <w:rPr>
          <w:b/>
          <w:bCs/>
        </w:rPr>
        <w:t xml:space="preserve">O que fica fora</w:t>
      </w:r>
      <w:r>
        <w:t xml:space="preserve">).</w:t>
      </w:r>
    </w:p>
    <w:p>
      <w:pPr>
        <w:pStyle w:val="Heading3"/>
        <w:spacing w:after="120" w:before="240"/>
      </w:pPr>
      <w:r>
        <w:t xml:space="preserve">6. Jurisprudência com fonte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Busca em bases públicas de jurisprudência dos tribunais, com prioridade para TRT 2, TRT 15 e TST.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citação sai com número do processo, órgão julgador, data e link para a fonte.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sistema não cita de memória: quando não encontra a fonte, não cita.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Volume da migração da base</w:t>
      </w:r>
    </w:p>
    <w:p>
      <w:pPr>
        <w:spacing w:after="160"/>
      </w:pPr>
      <w:r>
        <w:t xml:space="preserve">A migração da base da casa cobre, neste contrato: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até </w:t>
      </w:r>
      <w:r>
        <w:rPr>
          <w:b/>
          <w:bCs/>
        </w:rPr>
        <w:t xml:space="preserve">40 modelos de peça</w:t>
      </w:r>
      <w:r>
        <w:t xml:space="preserve">, organizados por cargo;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até </w:t>
      </w:r>
      <w:r>
        <w:rPr>
          <w:b/>
          <w:bCs/>
        </w:rPr>
        <w:t xml:space="preserve">30 teses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até </w:t>
      </w:r>
      <w:r>
        <w:rPr>
          <w:b/>
          <w:bCs/>
        </w:rPr>
        <w:t xml:space="preserve">60 jurisprudências</w:t>
      </w:r>
      <w:r>
        <w:t xml:space="preserve">.</w:t>
      </w:r>
    </w:p>
    <w:p>
      <w:pPr>
        <w:spacing w:after="160"/>
      </w:pPr>
      <w:r>
        <w:t xml:space="preserve">O material é entregue pelo escritório em </w:t>
      </w:r>
      <w:r>
        <w:rPr>
          <w:b/>
          <w:bCs/>
        </w:rPr>
        <w:t xml:space="preserve">uma única pasta</w:t>
      </w:r>
      <w:r>
        <w:t xml:space="preserve"> no Google Drive ou OneDrive, em formato de texto pesquisável (.docx, .pdf com texto, .txt).</w:t>
      </w:r>
    </w:p>
    <w:p>
      <w:pPr>
        <w:spacing w:after="160"/>
      </w:pPr>
      <w:r>
        <w:t xml:space="preserve">Não entram na migração: material em papel, manuscrito, imagem escaneada sem texto pesquisável e arquivos em formato não pesquisável. Volume acima dos limites acima segue a Cláusula 4 (aditivo).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Ajuste de formato até o padrão da casa</w:t>
      </w:r>
    </w:p>
    <w:p>
      <w:pPr>
        <w:spacing w:after="160"/>
      </w:pPr>
      <w:r>
        <w:t xml:space="preserve">O ajuste do formato da peça até o padrão que vai ao juiz é feito por rodadas: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até </w:t>
      </w:r>
      <w:r>
        <w:rPr>
          <w:b/>
          <w:bCs/>
        </w:rPr>
        <w:t xml:space="preserve">3 rodadas por tipo de peça</w:t>
      </w:r>
      <w:r>
        <w:t xml:space="preserve"> (petição inicial, réplica, recurso), 9 rodadas no total;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rodada é </w:t>
      </w:r>
      <w:r>
        <w:rPr>
          <w:b/>
          <w:bCs/>
        </w:rPr>
        <w:t xml:space="preserve">uma lista consolidada de ajustes</w:t>
      </w:r>
      <w:r>
        <w:t xml:space="preserve">, enviada de uma vez, por escrito;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escritório tem até </w:t>
      </w:r>
      <w:r>
        <w:rPr>
          <w:b/>
          <w:bCs/>
        </w:rPr>
        <w:t xml:space="preserve">5 dias úteis</w:t>
      </w:r>
      <w:r>
        <w:t xml:space="preserve"> para devolver cada lista. Passado esse prazo sem retorno, a rodada é considerada aprovada;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rodadas adicionais entram no pacote de acompanhamento mensal (3h/mês) ou são cobradas por hora avulsa, conforme a Cláusula 5 do contrato.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Quando uma peça é considerada pronta (critério de aceite)</w:t>
      </w:r>
    </w:p>
    <w:p>
      <w:pPr>
        <w:spacing w:after="160"/>
      </w:pPr>
      <w:r>
        <w:t xml:space="preserve">Uma peça está </w:t>
      </w:r>
      <w:r>
        <w:rPr>
          <w:b/>
          <w:bCs/>
        </w:rPr>
        <w:t xml:space="preserve">pronta para revisão</w:t>
      </w:r>
      <w:r>
        <w:t xml:space="preserve"> quando, ao mesmo tempo: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no template do escritório, com as seções na ordem do padrão da casa;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endereça todos os tópicos e pedidos identificáveis nos documentos do caso anexados ao sistema;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 cada citação de jurisprudência com número do processo, órgão julgador e link conferível;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gerada em </w:t>
      </w:r>
      <w:r>
        <w:rPr>
          <w:b/>
          <w:bCs/>
        </w:rPr>
        <w:t xml:space="preserve">menos de 1 dia útil</w:t>
      </w:r>
      <w:r>
        <w:t xml:space="preserve">, contado do momento em que os documentos do caso estão no sistema.</w:t>
      </w:r>
    </w:p>
    <w:p>
      <w:pPr>
        <w:spacing w:after="160"/>
      </w:pPr>
      <w:r>
        <w:t xml:space="preserve">Não fazem parte do critério de aceite: acerto do mérito, escolha de tese, estratégia processual e resultado do processo. Essas decisões são da advogada responsável.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Revisão obrigatória e responsabilidade sobre o conteúdo jurídico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peça gerada pelo MINUTA passa por </w:t>
      </w:r>
      <w:r>
        <w:rPr>
          <w:b/>
          <w:bCs/>
        </w:rPr>
        <w:t xml:space="preserve">revisão de uma advogada do escritório antes do protocolo</w:t>
      </w:r>
      <w:r>
        <w:t xml:space="preserve">. Esta é uma condição de uso do sistema, e não uma recomendação.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MINUTA é ferramenta de apoio à redação. A responsabilidade técnica, o conteúdo jurídico e o resultado de qualquer processo são do escritório e da advogada responsável pela peça.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Prestador não responde por decisão judicial, perda de prazo, erro de conteúdo em peça protocolada sem revisão, nem pelo resultado de qualquer processo.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Infraestrutura e custo de uso</w:t>
      </w:r>
    </w:p>
    <w:p>
      <w:pPr>
        <w:spacing w:after="160"/>
      </w:pPr>
      <w:r>
        <w:t xml:space="preserve">As contas de serviço do sistema — </w:t>
      </w:r>
      <w:r>
        <w:rPr>
          <w:b/>
          <w:bCs/>
        </w:rPr>
        <w:t xml:space="preserve">Anthropic (Claude)</w:t>
      </w:r>
      <w:r>
        <w:t xml:space="preserve"> e </w:t>
      </w:r>
      <w:r>
        <w:rPr>
          <w:b/>
          <w:bCs/>
        </w:rPr>
        <w:t xml:space="preserve">Vercel</w:t>
      </w:r>
      <w:r>
        <w:t xml:space="preserve"> — ficam em nome de A. Cunha Advocacia, contratadas e pagas diretamente por ela, conforme a Cláusula 9 do contrato. O Prestador entra nessas contas como colaborador técnico.</w:t>
      </w:r>
    </w:p>
    <w:p>
      <w:pPr>
        <w:spacing w:after="160"/>
      </w:pPr>
      <w:r>
        <w:t xml:space="preserve">O consumo da API do Claude é </w:t>
      </w:r>
      <w:r>
        <w:rPr>
          <w:b/>
          <w:bCs/>
        </w:rPr>
        <w:t xml:space="preserve">variável</w:t>
      </w:r>
      <w:r>
        <w:t xml:space="preserve">: cresce com o número de peças geradas e com o tamanho dos documentos processados. Esse consumo não está incluído no valor de setup nem no pacote de acompanhamento mensal.</w:t>
      </w:r>
    </w:p>
    <w:p>
      <w:pPr>
        <w:spacing w:after="160"/>
      </w:pPr>
      <w:r>
        <w:t xml:space="preserve">Até o fim da fase 2, o Prestador apresenta ao escritório uma estimativa de consumo mensal com base nos primeiros casos reais rodados no sistema.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que fica fora deste escopo</w:t>
      </w:r>
    </w:p>
    <w:p>
      <w:pPr>
        <w:spacing w:after="160"/>
      </w:pPr>
      <w:r>
        <w:t xml:space="preserve">Os itens abaixo não estão incluídos neste contrato.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Recepção automatizada do cliente</w:t>
      </w:r>
      <w:r>
        <w:t xml:space="preserve"> (resumo da reunião, e-mail padrão, conferência dos documentos recebidos): possível via aditivo.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Acesso de clientes do escritório à plataforma</w:t>
      </w:r>
      <w:r>
        <w:t xml:space="preserve">: possível via aditivo.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Integração com software jurídico</w:t>
      </w:r>
      <w:r>
        <w:t xml:space="preserve"> (CPJ, ProJuris, Astrea ou similar): possível via aditivo.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Outras áreas além do trabalhista bancário</w:t>
      </w:r>
      <w:r>
        <w:t xml:space="preserve">: possível via aditivo.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Outras peças processuais</w:t>
      </w:r>
      <w:r>
        <w:t xml:space="preserve">: contestação, contrarrazões, embargos de declaração, agravo de instrumento, embargos à execução, cálculos de liquidação e peças de execução de valores.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Integração com o PJe e peticionamento automático</w:t>
      </w:r>
      <w:r>
        <w:t xml:space="preserve">: o sistema gera a minuta; o protocolo continua sendo feito pelo escritório.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Integração com o Jusbrasil</w:t>
      </w:r>
      <w:r>
        <w:t xml:space="preserve">: a busca de jurisprudência roda sobre bases públicas dos tribunais. Uso da conta ou da API do Jusbrasil segue a Cláusula 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Migração do histórico dos processos ativos</w:t>
      </w:r>
      <w:r>
        <w:t xml:space="preserve">: o sistema começa sem processos cadastrados. Os casos entram conforme o uso do dia a 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Aplicativo de celular</w:t>
      </w:r>
      <w:r>
        <w:t xml:space="preserve">: o sistema é acessado pelo navegador.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Qualquer funcionalidade não listada nos módulos 1 a 6 acima.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Prazo</w:t>
      </w:r>
    </w:p>
    <w:p>
      <w:pPr>
        <w:spacing w:after="160"/>
      </w:pPr>
      <w:r>
        <w:t xml:space="preserve">Prazo estimado de entrega: </w:t>
      </w:r>
      <w:r>
        <w:rPr>
          <w:b/>
          <w:bCs/>
        </w:rPr>
        <w:t xml:space="preserve">30 dias úteis</w:t>
      </w:r>
      <w:r>
        <w:t xml:space="preserve">, contados a partir do que ocorrer por último entre (a) a confirmação da entrada, conforme a Cláusula 3, e (b) a entrega dos acessos e do material listados abaixo.</w:t>
      </w:r>
    </w:p>
    <w:p>
      <w:pPr>
        <w:spacing w:after="160"/>
      </w:pPr>
      <w:r>
        <w:t xml:space="preserve">O prazo segue a Cláusula 6 do contrato: sempre que a entrega parar à espera de algo do escritório, o prazo fica pausado e volta a correr quando a pendência for resolvida. Cada item atrasado empurra a entrega pelo mesmo número de dias.</w:t>
      </w:r>
    </w:p>
    <w:p>
      <w:pPr>
        <w:spacing w:after="160"/>
      </w:pPr>
      <w:r>
        <w:rPr>
          <w:b/>
          <w:bCs/>
        </w:rPr>
        <w:t xml:space="preserve">Pendências que pausam o relógio: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ao Google Drive e ao OneDrive onde vivem os modelos e a base de jurisprudência.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 da pasta única com modelos, teses e jurisprudências, no formato descrito em </w:t>
      </w:r>
      <w:r>
        <w:rPr>
          <w:b/>
          <w:bCs/>
        </w:rPr>
        <w:t xml:space="preserve">Volume da migração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 Anthropic e Vercel criadas em nome do escritório, com o Prestador incluído como colaborador.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Casos reais disponibilizados para calibrar petição inicial (fase 2) e réplica e recursos (fase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Devolução das listas de ajuste dentro dos 5 dias úteis de cada rodada.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Fases da entrega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acontece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· Aceite e entrada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Escopo assinado e entrada confirmada. O relógio começa.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 · Base e primeira peça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Migração da base da casa e painel com petição inicial funcionando em casos reais.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 · Réplica e recursos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Réplica e recursos calibrados com processos do próprio escritório.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 · Rotina e acompanhamento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Treinamento das 3 advogadas, sistema no dia a dia e ajuste fino nas primeiras semanas.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Indicadores acompanhados</w:t>
      </w:r>
    </w:p>
    <w:p>
      <w:pPr>
        <w:spacing w:after="160"/>
      </w:pPr>
      <w:r>
        <w:t xml:space="preserve">O escritório e o Prestador acompanham dois indicadores durante e após a entrega: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Número de peças geradas por mês</w:t>
      </w:r>
      <w:r>
        <w:t xml:space="preserve"> no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 médio</w:t>
      </w:r>
      <w:r>
        <w:t xml:space="preserve"> entre a entrada dos documentos do caso no sistema e a peça pronta para revisão.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Entrega final</w:t>
      </w:r>
    </w:p>
    <w:p>
      <w:pPr>
        <w:spacing w:after="160"/>
      </w:pPr>
      <w:r>
        <w:t xml:space="preserve">Com a quitação total do valor de setup, conforme a Cláusula 7 do contrato, o Prestador entrega a A. Cunha Advocacia o código-fonte do sistema, os dados cadastrados e o acesso às contas de serviço, tudo em nome do escritório.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2026-08-10T20:19:56.259Z</dcterms:created>
  <dcterms:modified xsi:type="dcterms:W3CDTF">2026-08-10T20:19:56.259Z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