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Checklist: dia do sim</w:t>
      </w:r>
    </w:p>
    <w:p>
      <w:pPr>
        <w:spacing w:after="160"/>
      </w:pPr>
      <w:r>
        <w:t xml:space="preserve">Roteiro operacional para o dia em que um cliente fundador (Arialdo Pimentel / QG OS ou a mãe do Nicolas) responde "sim" à proposta. Segue os passos na ordem. Cada passo depende do anterior estar fechado.</w:t>
      </w:r>
    </w:p>
    <w:p>
      <w:pPr>
        <w:pStyle w:val="Heading2"/>
        <w:spacing w:after="120" w:before="240"/>
      </w:pPr>
      <w:r>
        <w:t xml:space="preserve">Antes de começar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 que o modelo de contrato (</w:t>
      </w:r>
      <w:r>
        <w:rPr>
          <w:rFonts w:ascii="Courier New" w:cs="Courier New" w:eastAsia="Courier New" w:hAnsi="Courier New"/>
          <w:shd w:fill="F0F0F0" w:val="clear"/>
        </w:rPr>
        <w:t xml:space="preserve">contrato-prestacao-software-modelo.md</w:t>
      </w:r>
      <w:r>
        <w:t xml:space="preserve">) já passou pela revisão da mãe como advogada. Sem essa revisão, nenhuma assinatura real acontece, mesmo que o cliente já tenha dito sim.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documento (contrato, anexo, recibo, mensagem) sai para o cliente ou para terceiros sem "aprovado" do Nicolas na conversa. Isso vale mesmo para os documentos já redigidos deste checklist.</w:t>
      </w:r>
    </w:p>
    <w:p>
      <w:pPr>
        <w:pStyle w:val="Heading2"/>
        <w:spacing w:after="120" w:before="240"/>
      </w:pPr>
      <w:r>
        <w:t xml:space="preserve">Passo 1. Preencher o contrato e anexar o escopo</w:t>
      </w:r>
    </w:p>
    <w:p>
      <w:pPr>
        <w:spacing w:after="160"/>
      </w:pPr>
      <w:r>
        <w:t xml:space="preserve">Abra </w:t>
      </w:r>
      <w:r>
        <w:rPr>
          <w:rFonts w:ascii="Courier New" w:cs="Courier New" w:eastAsia="Courier New" w:hAnsi="Courier New"/>
          <w:shd w:fill="F0F0F0" w:val="clear"/>
        </w:rPr>
        <w:t xml:space="preserve">contrato-prestacao-software-modelo.md</w:t>
      </w:r>
      <w:r>
        <w:t xml:space="preserve"> e preencha </w:t>
      </w:r>
      <w:r>
        <w:rPr>
          <w:b/>
          <w:bCs/>
        </w:rPr>
        <w:t xml:space="preserve">todos os campos entre chaves</w:t>
      </w:r>
      <w:r>
        <w:t xml:space="preserve">. Não existe campo opcional: contrato incompleto não vai para assinatura.</w:t>
      </w:r>
    </w:p>
    <w:p>
      <w:pPr>
        <w:spacing w:after="160"/>
      </w:pPr>
      <w:r>
        <w:t xml:space="preserve">Dados fixos do Prestador (CPF, endereço completo com CEP, comarca São Paulo/SP e cidade de assinatura) já estão TODOS preenchidos no modelo desde 21/jul/2026. Os campos restantes são só do cliente e do projeto: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{{CONTRATANTE}}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{{CNPJ_CONTRATANTE}}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{{ENDERECO_CONTRATANTE}}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{{ANEXO_ESCOPO}}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{{VALOR_SETUP}}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{{MARCOS_PAGAMENTO}}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{{VALOR_HORA_EXCEDENTE}}</w:t>
      </w:r>
    </w:p>
    <w:p>
      <w:pPr>
        <w:spacing w:after="160"/>
      </w:pPr>
      <w:r>
        <w:t xml:space="preserve">Depois de preencher os 11 campos, anexe o Anexo I do projeto (o documento de escopo correspondente ao cliente) como parte integrante do contrato, conforme a Cláusula 2.</w:t>
      </w:r>
    </w:p>
    <w:p>
      <w:pPr>
        <w:spacing w:after="160"/>
      </w:pPr>
      <w:r>
        <w:rPr>
          <w:b/>
          <w:bCs/>
        </w:rPr>
        <w:t xml:space="preserve">Aviso sobre valores do caso QG OS.</w:t>
      </w:r>
      <w:r>
        <w:t xml:space="preserve"> Para o contrato do Arialdo/QG OS, use os valores do PDF da proposta comercial enviada a ele em 17/jul (pasta </w:t>
      </w:r>
      <w:r>
        <w:rPr>
          <w:rFonts w:ascii="Courier New" w:cs="Courier New" w:eastAsia="Courier New" w:hAnsi="Courier New"/>
          <w:shd w:fill="F0F0F0" w:val="clear"/>
        </w:rPr>
        <w:t xml:space="preserve">02 - Projetos/QG Group/QG OS/</w:t>
      </w:r>
      <w:r>
        <w:t xml:space="preserve">): </w:t>
      </w:r>
      <w:r>
        <w:rPr>
          <w:rFonts w:ascii="Courier New" w:cs="Courier New" w:eastAsia="Courier New" w:hAnsi="Courier New"/>
          <w:shd w:fill="F0F0F0" w:val="clear"/>
        </w:rPr>
        <w:t xml:space="preserve">{{VALOR_SETUP}}</w:t>
      </w:r>
      <w:r>
        <w:t xml:space="preserve"> = R$ 2.997, manutenção mensal R$ 197 (vai na proposta comercial vigente, não no contrato), </w:t>
      </w:r>
      <w:r>
        <w:rPr>
          <w:rFonts w:ascii="Courier New" w:cs="Courier New" w:eastAsia="Courier New" w:hAnsi="Courier New"/>
          <w:shd w:fill="F0F0F0" w:val="clear"/>
        </w:rPr>
        <w:t xml:space="preserve">{{VALOR_HORA_EXCEDENTE}}</w:t>
      </w:r>
      <w:r>
        <w:t xml:space="preserve"> = R$ 127/h, prazo 10 dias úteis a partir da confirmação da entrada. Não use os valores R$ 297/R$ 180 de um escopo interno anterior: estão superados para fins de contrato. Nicolas confirmou em 20/jul/2026 que os valores do PDF são intencionais e valem para o documento assinado.</w:t>
      </w:r>
    </w:p>
    <w:p>
      <w:pPr>
        <w:spacing w:after="160"/>
      </w:pPr>
      <w:r>
        <w:t xml:space="preserve">A proposta enviada oferece pagamento à vista, 50/50 ou parcelado, à escolha do cliente. Antes de preencher </w:t>
      </w:r>
      <w:r>
        <w:rPr>
          <w:rFonts w:ascii="Courier New" w:cs="Courier New" w:eastAsia="Courier New" w:hAnsi="Courier New"/>
          <w:shd w:fill="F0F0F0" w:val="clear"/>
        </w:rPr>
        <w:t xml:space="preserve">{{MARCOS_PAGAMENTO}}</w:t>
      </w:r>
      <w:r>
        <w:t xml:space="preserve">, Nicolas confirma com o cliente a modalidade escolhida e o valor exato da entrada.</w:t>
      </w:r>
    </w:p>
    <w:p>
      <w:pPr>
        <w:pStyle w:val="Heading2"/>
        <w:spacing w:after="120" w:before="240"/>
      </w:pPr>
      <w:r>
        <w:t xml:space="preserve">Passo 2. Enviar para assinatura via Gov.br</w:t>
      </w:r>
    </w:p>
    <w:p>
      <w:pPr>
        <w:spacing w:after="160"/>
      </w:pPr>
      <w:r>
        <w:t xml:space="preserve">Siga </w:t>
      </w:r>
      <w:r>
        <w:rPr>
          <w:rFonts w:ascii="Courier New" w:cs="Courier New" w:eastAsia="Courier New" w:hAnsi="Courier New"/>
          <w:shd w:fill="F0F0F0" w:val="clear"/>
        </w:rPr>
        <w:t xml:space="preserve">guia-assinatura-govbr.md</w:t>
      </w:r>
      <w:r>
        <w:t xml:space="preserve"> de ponta a ponta: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Exporte contrato preenchido + Anexo I para um único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Nicolas assina primeiro em assinatura.iti.gov.br (conta Gov.br nível prata ou ouro).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 o PDF já assinado ao cliente, pelo canal combinado.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assina no mesmo documento.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Valide as duas assinaturas em validar.iti.gov.br antes de considerar o contrato fechado.</w:t>
      </w:r>
    </w:p>
    <w:p>
      <w:pPr>
        <w:spacing w:after="160"/>
      </w:pPr>
      <w:r>
        <w:t xml:space="preserve">Se o cliente não tiver conta Gov.br nível prata, use a seção do guia sobre como ele sobe de nível (app com reconhecimento facial, banco credenciado ou atendimento presencial) antes de seguir.</w:t>
      </w:r>
    </w:p>
    <w:p>
      <w:pPr>
        <w:pStyle w:val="Heading2"/>
        <w:spacing w:after="120" w:before="240"/>
      </w:pPr>
      <w:r>
        <w:t xml:space="preserve">Passo 3. Cobrar a entrada</w:t>
      </w:r>
    </w:p>
    <w:p>
      <w:pPr>
        <w:spacing w:after="160"/>
      </w:pPr>
      <w:r>
        <w:t xml:space="preserve">Só depois das duas assinaturas validadas: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Envie a cobrança da entrada por PIX, no valor definido em </w:t>
      </w:r>
      <w:r>
        <w:rPr>
          <w:rFonts w:ascii="Courier New" w:cs="Courier New" w:eastAsia="Courier New" w:hAnsi="Courier New"/>
          <w:shd w:fill="F0F0F0" w:val="clear"/>
        </w:rPr>
        <w:t xml:space="preserve">{{MARCOS_PAGAMENTO}}</w:t>
      </w:r>
      <w:r>
        <w:t xml:space="preserve"> do contrato assinado.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Assim que o PIX cair, preencha o modelo de recibo em </w:t>
      </w:r>
      <w:r>
        <w:rPr>
          <w:rFonts w:ascii="Courier New" w:cs="Courier New" w:eastAsia="Courier New" w:hAnsi="Courier New"/>
          <w:shd w:fill="F0F0F0" w:val="clear"/>
        </w:rPr>
        <w:t xml:space="preserve">rpa-recibo-modelo.md</w:t>
      </w:r>
      <w:r>
        <w:t xml:space="preserve"> (Parte 1) com os dados do pagamento. Esse documento tem seus próprios campos entre chaves, separados dos 11 do contrato: preencha todos antes de enviar.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Envie ao cliente o recibo (RPA) assinado junto com a explicação de meia página para o contador do tomador, que já está na Parte 2 do mesmo arquivo. É essa explicação que orienta o contador do cliente sobre retenções e encargos de pagar um autônomo pessoa física.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confunda esse envio com </w:t>
      </w:r>
      <w:r>
        <w:rPr>
          <w:rFonts w:ascii="Courier New" w:cs="Courier New" w:eastAsia="Courier New" w:hAnsi="Courier New"/>
          <w:shd w:fill="F0F0F0" w:val="clear"/>
        </w:rPr>
        <w:t xml:space="preserve">mensagem-contador.md</w:t>
      </w:r>
      <w:r>
        <w:t xml:space="preserve">: aquele documento é a pergunta do Nicolas para o contador dele mesmo, sobre abrir LTDA e Simples Nacional. Não vai para o cliente. Ele entra no Passo 5.</w:t>
      </w:r>
    </w:p>
    <w:p>
      <w:pPr>
        <w:spacing w:after="160"/>
      </w:pPr>
      <w:r>
        <w:t xml:space="preserve">O Prestador não começa nenhum desenvolvimento antes de a entrada cair na conta, conforme a Cláusula 3 do contrato.</w:t>
      </w:r>
    </w:p>
    <w:p>
      <w:pPr>
        <w:pStyle w:val="Heading2"/>
        <w:spacing w:after="120" w:before="240"/>
      </w:pPr>
      <w:r>
        <w:t xml:space="preserve">Passo 4. Confirmar a entrada e agendar o kickoff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 no extrato que o valor da entrada caiu na conta.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Agende o kickoff com o cliente em até 48 horas depois da 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Registre a data de início real do prazo do Anexo I (o relógio do cronograma começa a contar a partir da entrada, conforme a Cláusula 6).</w:t>
      </w:r>
    </w:p>
    <w:p>
      <w:pPr>
        <w:pStyle w:val="Heading2"/>
        <w:spacing w:after="120" w:before="240"/>
      </w:pPr>
      <w:r>
        <w:t xml:space="preserve">Passo 5. Disparar os gatilhos de fase</w:t>
      </w:r>
    </w:p>
    <w:p>
      <w:pPr>
        <w:spacing w:after="160"/>
      </w:pPr>
      <w:r>
        <w:t xml:space="preserve">A entrada confirmada dispara duas ações fora deste checklist, cada uma com plano próprio: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 2 (dinheiro limpo).</w:t>
      </w:r>
      <w:r>
        <w:t xml:space="preserve"> A entrada é o evento que autoriza abrir a LTDA e a conta PJ. Se </w:t>
      </w:r>
      <w:r>
        <w:rPr>
          <w:rFonts w:ascii="Courier New" w:cs="Courier New" w:eastAsia="Courier New" w:hAnsi="Courier New"/>
          <w:shd w:fill="F0F0F0" w:val="clear"/>
        </w:rPr>
        <w:t xml:space="preserve">mensagem-contador.md</w:t>
      </w:r>
      <w:r>
        <w:t xml:space="preserve"> ainda não foi enviada ao contador do Nicolas, envie agora (com aprovação dele) para destravar a resposta sobre holding, Simples Nacional e abertura de LTDA. Essa fase é detalhada em </w:t>
      </w:r>
      <w:r>
        <w:rPr>
          <w:rFonts w:ascii="Courier New" w:cs="Courier New" w:eastAsia="Courier New" w:hAnsi="Courier New"/>
          <w:shd w:fill="F0F0F0" w:val="clear"/>
        </w:rPr>
        <w:t xml:space="preserve">docs/superpowers/specs/2026-07-20-fundacao-agencia-design.md</w:t>
      </w:r>
      <w:r>
        <w:t xml:space="preserve"> (seção "Fase 2 - Dinheiro limpo").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 3 (onboarding).</w:t>
      </w:r>
      <w:r>
        <w:t xml:space="preserve"> A primeira assinatura dispara o kit de onboarding pós-contrato (documento de boas-vindas, cadência de comunicação, kickoff, calls recorrentes). Esse kit ainda não existe como documento pronto: ganha plano próprio quando o gatilho disparar.</w:t>
      </w:r>
    </w:p>
    <w:p>
      <w:pPr>
        <w:spacing w:after="160"/>
      </w:pPr>
      <w:r>
        <w:t xml:space="preserve">Nenhuma das duas fases atrasa o kickoff do Passo 4. Elas correm em paralelo, puxadas pelo mesmo evento.</w:t>
      </w:r>
    </w:p>
    <w:p>
      <w:pPr>
        <w:pStyle w:val="Heading2"/>
        <w:spacing w:after="120" w:before="240"/>
      </w:pPr>
      <w:r>
        <w:t xml:space="preserve">Caso mãe: dependência em aberto</w:t>
      </w:r>
    </w:p>
    <w:p>
      <w:pPr>
        <w:spacing w:after="160"/>
      </w:pPr>
      <w:r>
        <w:t xml:space="preserve">Para o cliente "mãe do Nicolas", o Passo 1 não pode ser concluído hoje: o Anexo I de escopo dela ainda não existe. A ordem 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Nicolas pesquisa e define o escopo do sistema dela.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uma proposta comercial (mesmo formato do PDF do QG 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escopo vira Anexo I em </w:t>
      </w:r>
      <w:r>
        <w:rPr>
          <w:rFonts w:ascii="Courier New" w:cs="Courier New" w:eastAsia="Courier New" w:hAnsi="Courier New"/>
          <w:shd w:fill="F0F0F0" w:val="clear"/>
        </w:rPr>
        <w:t xml:space="preserve">03 - Comercial/06 - Jurídico/</w:t>
      </w:r>
      <w:r>
        <w:t xml:space="preserve">, no mesmo padrão de </w:t>
      </w:r>
      <w:r>
        <w:rPr>
          <w:rFonts w:ascii="Courier New" w:cs="Courier New" w:eastAsia="Courier New" w:hAnsi="Courier New"/>
          <w:shd w:fill="F0F0F0" w:val="clear"/>
        </w:rPr>
        <w:t xml:space="preserve">anexo-escopo-qgos.md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 depois desse anexo existir, este checklist roda para o caso dela a partir do Passo 1.</w:t>
      </w:r>
    </w:p>
    <w:p>
      <w:pPr>
        <w:pStyle w:val="Heading2"/>
        <w:spacing w:after="120" w:before="240"/>
      </w:pPr>
      <w:r>
        <w:t xml:space="preserve">Referências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contrato-prestacao-software-modelo.md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anexo-escopo-qgos.md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rpa-recibo-modelo.md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mensagem-contador.md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guia-assinatura-govbr.md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da proposta comercial QG OS (17/jul), em </w:t>
      </w:r>
      <w:r>
        <w:rPr>
          <w:rFonts w:ascii="Courier New" w:cs="Courier New" w:eastAsia="Courier New" w:hAnsi="Courier New"/>
          <w:shd w:fill="F0F0F0" w:val="clear"/>
        </w:rPr>
        <w:t xml:space="preserve">02 - Projetos/QG Group/QG OS/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docs/superpowers/plans/2026-07-20-fundacao-fase1-contratos.md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2026-08-10T20:19:56.275Z</dcterms:created>
  <dcterms:modified xsi:type="dcterms:W3CDTF">2026-08-10T20:19:56.275Z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