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1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Public CPU lesion segmenters do not outperform a FLAIR-only nnU-Net ensemble on thick-slice FLAIR in multiple sclerosis: a pre-registered benchmark with a negative result</w:t>
      </w:r>
    </w:p>
    <w:p>
      <w:pPr>
        <w:pStyle w:val="Author"/>
      </w:pPr>
      <w:r>
        <w:t xml:space="preserve">N. G. Bonilla Vargas</w:t>
      </w:r>
      <w:r>
        <w:rPr>
          <w:vertAlign w:val="superscript"/>
        </w:rPr>
        <w:t xml:space="preserve">1</w:t>
      </w:r>
      <w:r>
        <w:t xml:space="preserve"> </w:t>
      </w:r>
      <w:r>
        <w:t xml:space="preserve">[TODO owner: co-authors, ORCID iDs, corresponding e-mail]</w:t>
      </w:r>
    </w:p>
    <w:p>
      <w:pPr>
        <w:pStyle w:val="Date"/>
      </w:pPr>
      <w:r>
        <w:t xml:space="preserve">Manuscript draft v1.0, 2026-10-31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MSTool-AI [TODO owner: confirm the affiliation exactly as it should appear — legal name, city, country].</w:t>
      </w:r>
    </w:p>
    <w:p>
      <w:pPr>
        <w:pStyle w:val="BodyText"/>
      </w:pPr>
      <w:r>
        <w:rPr>
          <w:b/>
          <w:bCs/>
        </w:rPr>
        <w:t xml:space="preserve">Target journal:</w:t>
      </w:r>
      <w:r>
        <w:t xml:space="preserve"> </w:t>
      </w:r>
      <w:r>
        <w:rPr>
          <w:i/>
          <w:iCs/>
        </w:rPr>
        <w:t xml:space="preserve">NeuroImage: Clinical</w:t>
      </w:r>
      <w:r>
        <w:t xml:space="preserve"> </w:t>
      </w:r>
      <w:r>
        <w:t xml:space="preserve">(research article).</w:t>
      </w:r>
      <w:r>
        <w:t xml:space="preserve"> </w:t>
      </w:r>
      <w:r>
        <w:rPr>
          <w:b/>
          <w:bCs/>
        </w:rPr>
        <w:t xml:space="preserve">Alternative:</w:t>
      </w:r>
      <w:r>
        <w:t xml:space="preserve"> </w:t>
      </w:r>
      <w:r>
        <w:rPr>
          <w:i/>
          <w:iCs/>
        </w:rPr>
        <w:t xml:space="preserve">Machine Learning for</w:t>
      </w:r>
      <w:r>
        <w:rPr>
          <w:i/>
          <w:iCs/>
        </w:rPr>
        <w:t xml:space="preserve"> </w:t>
      </w:r>
      <w:r>
        <w:rPr>
          <w:i/>
          <w:iCs/>
        </w:rPr>
        <w:t xml:space="preserve">Biomedical Imaging (MELBA)</w:t>
      </w:r>
      <w:r>
        <w:t xml:space="preserve">, which publishes reproducibility-oriented and negative benchmarks.</w:t>
      </w:r>
    </w:p>
    <w:p>
      <w:pPr>
        <w:pStyle w:val="BodyText"/>
      </w:pPr>
      <w:r>
        <w:rPr>
          <w:b/>
          <w:bCs/>
        </w:rPr>
        <w:t xml:space="preserve">Running title:</w:t>
      </w:r>
      <w:r>
        <w:t xml:space="preserve"> </w:t>
      </w:r>
      <w:r>
        <w:t xml:space="preserve">CPU lesion segmenters vs FLAMeS on thick-slice FLAIR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multiple sclerosis; lesion segmentation; FLAIR; slice thickness; benchmark;</w:t>
      </w:r>
      <w:r>
        <w:t xml:space="preserve"> </w:t>
      </w:r>
      <w:r>
        <w:t xml:space="preserve">pre-registration; negative result; MindGlide; SAMSEG; WMH-SynthSeg; LST-AI; FLAMeS; nnU-Net</w:t>
      </w:r>
    </w:p>
    <w:bookmarkStart w:id="9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Pre-registered benchmark on 324 public MS scans, 179 with 3.9–8.3 mm FLAIR slices.</w:t>
      </w:r>
    </w:p>
    <w:p>
      <w:pPr>
        <w:pStyle w:val="Compact"/>
        <w:numPr>
          <w:ilvl w:val="0"/>
          <w:numId w:val="1001"/>
        </w:numPr>
      </w:pPr>
      <w:r>
        <w:t xml:space="preserve">No CPU tool beat the FLAMeS ensemble on thick slices; all had lower lesion-wise F1.</w:t>
      </w:r>
    </w:p>
    <w:p>
      <w:pPr>
        <w:pStyle w:val="Compact"/>
        <w:numPr>
          <w:ilvl w:val="0"/>
          <w:numId w:val="1001"/>
        </w:numPr>
      </w:pPr>
      <w:r>
        <w:t xml:space="preserve">SAMSEG and WMH-SynthSeg had fewer false lesions but missed most small lesions.</w:t>
      </w:r>
    </w:p>
    <w:p>
      <w:pPr>
        <w:pStyle w:val="Compact"/>
        <w:numPr>
          <w:ilvl w:val="0"/>
          <w:numId w:val="1001"/>
        </w:numPr>
      </w:pPr>
      <w:r>
        <w:t xml:space="preserve">MindGlide lost less F1 than FLAMeS from 1 mm to thick slices, yet stayed below it.</w:t>
      </w:r>
    </w:p>
    <w:p>
      <w:pPr>
        <w:pStyle w:val="Compact"/>
        <w:numPr>
          <w:ilvl w:val="0"/>
          <w:numId w:val="1001"/>
        </w:numPr>
      </w:pPr>
      <w:r>
        <w:t xml:space="preserve">Every number traces to committed files; the study cost 12.55 USD of cloud CPU.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Clinical archives contain many 2D FLAIR scans with 4–8 mm slices, whereas most</w:t>
      </w:r>
      <w:r>
        <w:t xml:space="preserve"> </w:t>
      </w:r>
      <w:r>
        <w:t xml:space="preserve">multiple sclerosis (MS) lesion segmenters are developed on 1 mm 3D FLAIR. Whether public CPU tools</w:t>
      </w:r>
      <w:r>
        <w:t xml:space="preserve"> </w:t>
      </w:r>
      <w:r>
        <w:t xml:space="preserve">designed for heterogeneous resolution outperform a FLAIR-only nnU-Net ensemble (FLAMeS) on real</w:t>
      </w:r>
      <w:r>
        <w:t xml:space="preserve"> </w:t>
      </w:r>
      <w:r>
        <w:t xml:space="preserve">thick-slice scans is unknown.</w:t>
      </w:r>
    </w:p>
    <w:p>
      <w:pPr>
        <w:pStyle w:val="BodyText"/>
      </w:pPr>
      <w:r>
        <w:rPr>
          <w:b/>
          <w:bCs/>
        </w:rPr>
        <w:t xml:space="preserve">Methods.</w:t>
      </w:r>
      <w:r>
        <w:t xml:space="preserve"> </w:t>
      </w:r>
      <w:r>
        <w:t xml:space="preserve">Paired benchmark pre-registered in a public repository (2026-10-21, commit 65a95e3)</w:t>
      </w:r>
      <w:r>
        <w:t xml:space="preserve"> </w:t>
      </w:r>
      <w:r>
        <w:t xml:space="preserve">before any tool output existed. Five public cohorts with expert masks: 179 thick-slice scans</w:t>
      </w:r>
      <w:r>
        <w:t xml:space="preserve"> </w:t>
      </w:r>
      <w:r>
        <w:t xml:space="preserve">(3.9–8.3 mm; 160 patients) and 145 1 mm scans (105 patients). MindGlide, WMH-SynthSeg, SAMSEG and,</w:t>
      </w:r>
      <w:r>
        <w:t xml:space="preserve"> </w:t>
      </w:r>
      <w:r>
        <w:t xml:space="preserve">on 1 mm scans, LST-AI ran with default settings on the identical skull-stripped FLAIR on CPU and were</w:t>
      </w:r>
      <w:r>
        <w:t xml:space="preserve"> </w:t>
      </w:r>
      <w:r>
        <w:t xml:space="preserve">compared with the FLAMeS 5-fold ensemble. Co-primary outcomes: lesion-wise F1 and false lesions per</w:t>
      </w:r>
      <w:r>
        <w:t xml:space="preserve"> </w:t>
      </w:r>
      <w:r>
        <w:t xml:space="preserve">scan. Inference: patient-cluster bootstrap stratified by cohort, Holm correction within families.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t xml:space="preserve">No tool outperformed FLAMeS on thick slices (FLAMeS F1 0.724). ΔF1 was −0.170</w:t>
      </w:r>
      <w:r>
        <w:t xml:space="preserve"> </w:t>
      </w:r>
      <w:r>
        <w:t xml:space="preserve">(95% CI −0.206 to −0.136) for MindGlide, −0.237 (−0.304 to −0.173) for SAMSEG (129 scans) and −0.384</w:t>
      </w:r>
      <w:r>
        <w:t xml:space="preserve"> </w:t>
      </w:r>
      <w:r>
        <w:t xml:space="preserve">(−0.424 to −0.344) for WMH-SynthSeg (all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0.002). SAMSEG and WMH-SynthSeg had 5.15 and 3.88</w:t>
      </w:r>
      <w:r>
        <w:t xml:space="preserve"> </w:t>
      </w:r>
      <w:r>
        <w:t xml:space="preserve">fewer false lesions per scan but detected only 6% and 5% of expert lesions of 14–50 mm³ (FLAMeS 49%);</w:t>
      </w:r>
      <w:r>
        <w:t xml:space="preserve"> </w:t>
      </w:r>
      <w:r>
        <w:t xml:space="preserve">MindGlide’s false-lesion difference was inconclusive (+0.57, −0.89 to +2.21). On 1 mm scans FLAMeS</w:t>
      </w:r>
      <w:r>
        <w:t xml:space="preserve"> </w:t>
      </w:r>
      <w:r>
        <w:t xml:space="preserve">also led (LST-AI −0.180, −0.212 to −0.150). In a between-cohort contrast, MindGlide lost 0.102 less F1</w:t>
      </w:r>
      <w:r>
        <w:t xml:space="preserve"> </w:t>
      </w:r>
      <w:r>
        <w:t xml:space="preserve">than FLAMeS on thick slices. Exploratory: MindGlide–FLAMeS disagreement flagged scans where FLAMeS</w:t>
      </w:r>
      <w:r>
        <w:t xml:space="preserve"> </w:t>
      </w:r>
      <w:r>
        <w:t xml:space="preserve">was poor (AUROC 0.78; 14 such scans). Compute cost: 12.55 USD.</w:t>
      </w:r>
    </w:p>
    <w:p>
      <w:pPr>
        <w:pStyle w:val="BodyText"/>
      </w:pPr>
      <w:r>
        <w:rPr>
          <w:b/>
          <w:bCs/>
        </w:rPr>
        <w:t xml:space="preserve">Conclusions.</w:t>
      </w:r>
      <w:r>
        <w:t xml:space="preserve"> </w:t>
      </w:r>
      <w:r>
        <w:t xml:space="preserve">The hypothesis that a public CPU segmenter outperforms FLAMeS on thick-slice FLAIR</w:t>
      </w:r>
      <w:r>
        <w:t xml:space="preserve"> </w:t>
      </w:r>
      <w:r>
        <w:t xml:space="preserve">was not supported. Fewer false lesions from conservative tools came at a large cost in sensitivity.</w:t>
      </w:r>
      <w:r>
        <w:t xml:space="preserve"> </w:t>
      </w:r>
      <w:r>
        <w:t xml:space="preserve">No clinical utility is claimed.</w:t>
      </w:r>
    </w:p>
    <w:bookmarkEnd w:id="10"/>
    <w:bookmarkStart w:id="1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T2-weighted fluid-attenuated inversion recovery (FLAIR) lesions are central to the diagnosis and</w:t>
      </w:r>
      <w:r>
        <w:t xml:space="preserve"> </w:t>
      </w:r>
      <w:r>
        <w:t xml:space="preserve">monitoring of multiple sclerosis (MS)</w:t>
      </w:r>
      <w:r>
        <w:t xml:space="preserve"> </w:t>
      </w:r>
      <w:r>
        <w:t xml:space="preserve">(</w:t>
      </w:r>
      <w:hyperlink w:anchor="ref-thompson2018mcdonald">
        <w:r>
          <w:rPr>
            <w:rStyle w:val="Hyperlink"/>
          </w:rPr>
          <w:t xml:space="preserve">Thompson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</w:t>
        </w:r>
      </w:hyperlink>
      <w:r>
        <w:t xml:space="preserve">;</w:t>
      </w:r>
      <w:r>
        <w:t xml:space="preserve"> </w:t>
      </w:r>
      <w:hyperlink w:anchor="ref-filippi2019lesions">
        <w:r>
          <w:rPr>
            <w:rStyle w:val="Hyperlink"/>
          </w:rPr>
          <w:t xml:space="preserve">Filippi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</w:t>
        </w:r>
      </w:hyperlink>
      <w:r>
        <w:t xml:space="preserve">)</w:t>
      </w:r>
      <w:r>
        <w:t xml:space="preserve">. The 2021</w:t>
      </w:r>
      <w:r>
        <w:t xml:space="preserve"> </w:t>
      </w:r>
      <w:r>
        <w:t xml:space="preserve">MAGNIMS–CMSC–NAIMS recommendations make 3D FLAIR the core brain sequence and accept high-quality 2D</w:t>
      </w:r>
      <w:r>
        <w:t xml:space="preserve"> </w:t>
      </w:r>
      <w:r>
        <w:t xml:space="preserve">acquisitions with slices of at most 3 mm and no gap as an alternative</w:t>
      </w:r>
      <w:r>
        <w:t xml:space="preserve"> </w:t>
      </w:r>
      <w:r>
        <w:t xml:space="preserve">(</w:t>
      </w:r>
      <w:hyperlink w:anchor="ref-wattjes2021magnims">
        <w:r>
          <w:rPr>
            <w:rStyle w:val="Hyperlink"/>
          </w:rPr>
          <w:t xml:space="preserve">Wattjes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2021</w:t>
        </w:r>
      </w:hyperlink>
      <w:r>
        <w:t xml:space="preserve">)</w:t>
      </w:r>
      <w:r>
        <w:t xml:space="preserve">. Many clinical archives predate or do not follow these recommendations: the three public clinical</w:t>
      </w:r>
      <w:r>
        <w:t xml:space="preserve"> </w:t>
      </w:r>
      <w:r>
        <w:t xml:space="preserve">cohorts used here, for example, contain axial 2D FLAIR with 3.9–8.3 mm between slice centres. The</w:t>
      </w:r>
      <w:r>
        <w:t xml:space="preserve"> </w:t>
      </w:r>
      <w:r>
        <w:t xml:space="preserve">developers of recent segmentation tools note that high-resolution 3D scans are still not always</w:t>
      </w:r>
      <w:r>
        <w:t xml:space="preserve"> </w:t>
      </w:r>
      <w:r>
        <w:t xml:space="preserve">acquired in routine practice</w:t>
      </w:r>
      <w:r>
        <w:t xml:space="preserve"> </w:t>
      </w:r>
      <w:r>
        <w:t xml:space="preserve">(</w:t>
      </w:r>
      <w:hyperlink w:anchor="ref-dereskewicz2025flames">
        <w:r>
          <w:rPr>
            <w:rStyle w:val="Hyperlink"/>
          </w:rPr>
          <w:t xml:space="preserve">Dereskewicz, La Rosa, Dos Santos Silva,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and have built tools to reuse such archives</w:t>
      </w:r>
      <w:r>
        <w:t xml:space="preserve"> </w:t>
      </w:r>
      <w:r>
        <w:t xml:space="preserve">(</w:t>
      </w:r>
      <w:hyperlink w:anchor="ref-goebl2025mindglide">
        <w:r>
          <w:rPr>
            <w:rStyle w:val="Hyperlink"/>
          </w:rPr>
          <w:t xml:space="preserve">Goebl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. Slice thickness affects both how many MS</w:t>
      </w:r>
      <w:r>
        <w:t xml:space="preserve"> </w:t>
      </w:r>
      <w:r>
        <w:t xml:space="preserve">lesions are detected and how their volume is measured</w:t>
      </w:r>
      <w:r>
        <w:t xml:space="preserve"> </w:t>
      </w:r>
      <w:r>
        <w:t xml:space="preserve">(</w:t>
      </w:r>
      <w:hyperlink w:anchor="ref-molyneux1998thickness">
        <w:r>
          <w:rPr>
            <w:rStyle w:val="Hyperlink"/>
          </w:rPr>
          <w:t xml:space="preserve">Molyneux et al. 1998</w:t>
        </w:r>
      </w:hyperlink>
      <w:r>
        <w:t xml:space="preserve">)</w:t>
      </w:r>
      <w:r>
        <w:t xml:space="preserve">. Partial-volume</w:t>
      </w:r>
      <w:r>
        <w:t xml:space="preserve"> </w:t>
      </w:r>
      <w:r>
        <w:t xml:space="preserve">averaging across thick slices blurs small lesions into the surrounding tissue, so tools trained on</w:t>
      </w:r>
      <w:r>
        <w:t xml:space="preserve"> </w:t>
      </w:r>
      <w:r>
        <w:t xml:space="preserve">1 mm data meet both a resolution shift and a change in lesion appearance.</w:t>
      </w:r>
    </w:p>
    <w:p>
      <w:pPr>
        <w:pStyle w:val="BodyText"/>
      </w:pPr>
      <w:r>
        <w:t xml:space="preserve">Most automated MS lesion segmenters were developed and challenged on 3D or near-isotropic research</w:t>
      </w:r>
      <w:r>
        <w:t xml:space="preserve"> </w:t>
      </w:r>
      <w:r>
        <w:t xml:space="preserve">data, such as the ISBI-2015 and MSSEG-2016 challenges</w:t>
      </w:r>
      <w:r>
        <w:t xml:space="preserve"> </w:t>
      </w:r>
      <w:r>
        <w:t xml:space="preserve">(</w:t>
      </w:r>
      <w:hyperlink w:anchor="ref-carass2017isbi">
        <w:r>
          <w:rPr>
            <w:rStyle w:val="Hyperlink"/>
          </w:rPr>
          <w:t xml:space="preserve">Carass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2017</w:t>
        </w:r>
      </w:hyperlink>
      <w:r>
        <w:t xml:space="preserve">;</w:t>
      </w:r>
      <w:r>
        <w:t xml:space="preserve"> </w:t>
      </w:r>
      <w:hyperlink w:anchor="ref-commowick2018msseg">
        <w:r>
          <w:rPr>
            <w:rStyle w:val="Hyperlink"/>
          </w:rPr>
          <w:t xml:space="preserve">Commowick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2018</w:t>
        </w:r>
      </w:hyperlink>
      <w:r>
        <w:t xml:space="preserve">,</w:t>
      </w:r>
      <w:r>
        <w:t xml:space="preserve"> </w:t>
      </w:r>
      <w:hyperlink w:anchor="ref-commowick2021msseg">
        <w:r>
          <w:rPr>
            <w:rStyle w:val="Hyperlink"/>
          </w:rPr>
          <w:t xml:space="preserve">2021</w:t>
        </w:r>
      </w:hyperlink>
      <w:r>
        <w:t xml:space="preserve">)</w:t>
      </w:r>
      <w:r>
        <w:t xml:space="preserve">. Systematic reviews have examined how far such methods are integrated into clinical workflows and</w:t>
      </w:r>
      <w:r>
        <w:t xml:space="preserve"> </w:t>
      </w:r>
      <w:r>
        <w:t xml:space="preserve">what evidence supports commercial tools</w:t>
      </w:r>
      <w:r>
        <w:t xml:space="preserve"> </w:t>
      </w:r>
      <w:r>
        <w:t xml:space="preserve">(</w:t>
      </w:r>
      <w:hyperlink w:anchor="ref-spagnolo2023clinical">
        <w:r>
          <w:rPr>
            <w:rStyle w:val="Hyperlink"/>
          </w:rPr>
          <w:t xml:space="preserve">Spagnolo et al. 2023</w:t>
        </w:r>
      </w:hyperlink>
      <w:r>
        <w:t xml:space="preserve">;</w:t>
      </w:r>
      <w:r>
        <w:t xml:space="preserve"> </w:t>
      </w:r>
      <w:hyperlink w:anchor="ref-mendelsohn2023commercial">
        <w:r>
          <w:rPr>
            <w:rStyle w:val="Hyperlink"/>
          </w:rPr>
          <w:t xml:space="preserve">Mendelsohn et al. 2023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distribution shift between sites is a recognised challenge</w:t>
      </w:r>
      <w:r>
        <w:t xml:space="preserve"> </w:t>
      </w:r>
      <w:r>
        <w:t xml:space="preserve">(</w:t>
      </w:r>
      <w:hyperlink w:anchor="ref-malinin2022shifts">
        <w:r>
          <w:rPr>
            <w:rStyle w:val="Hyperlink"/>
          </w:rPr>
          <w:t xml:space="preserve">Malinin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2022</w:t>
        </w:r>
      </w:hyperlink>
      <w:r>
        <w:t xml:space="preserve">)</w:t>
      </w:r>
      <w:r>
        <w:t xml:space="preserve">. Three families of public tools address</w:t>
      </w:r>
      <w:r>
        <w:t xml:space="preserve"> </w:t>
      </w:r>
      <w:r>
        <w:t xml:space="preserve">heterogeneous resolution explicitly. Domain-randomised networks are trained on synthetic images of</w:t>
      </w:r>
      <w:r>
        <w:t xml:space="preserve"> </w:t>
      </w:r>
      <w:r>
        <w:t xml:space="preserve">random contrast and resolution: SynthSeg and SynthSR for anatomy</w:t>
      </w:r>
      <w:r>
        <w:t xml:space="preserve"> </w:t>
      </w:r>
      <w:r>
        <w:t xml:space="preserve">(</w:t>
      </w:r>
      <w:hyperlink w:anchor="ref-billot2023synthseg">
        <w:r>
          <w:rPr>
            <w:rStyle w:val="Hyperlink"/>
          </w:rPr>
          <w:t xml:space="preserve">Billot et al. 2023</w:t>
        </w:r>
      </w:hyperlink>
      <w:r>
        <w:t xml:space="preserve">;</w:t>
      </w:r>
      <w:r>
        <w:t xml:space="preserve"> </w:t>
      </w:r>
      <w:hyperlink w:anchor="ref-iglesias2023synthsr">
        <w:r>
          <w:rPr>
            <w:rStyle w:val="Hyperlink"/>
          </w:rPr>
          <w:t xml:space="preserve">Iglesias et al. 2023</w:t>
        </w:r>
      </w:hyperlink>
      <w:r>
        <w:t xml:space="preserve">)</w:t>
      </w:r>
      <w:r>
        <w:t xml:space="preserve">, WMH-SynthSeg for white-matter hyperintensities</w:t>
      </w:r>
      <w:r>
        <w:t xml:space="preserve"> </w:t>
      </w:r>
      <w:r>
        <w:t xml:space="preserve">(</w:t>
      </w:r>
      <w:hyperlink w:anchor="ref-laso2024wmhsynthseg">
        <w:r>
          <w:rPr>
            <w:rStyle w:val="Hyperlink"/>
          </w:rPr>
          <w:t xml:space="preserve">Laso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, and</w:t>
      </w:r>
      <w:r>
        <w:t xml:space="preserve"> </w:t>
      </w:r>
      <w:r>
        <w:t xml:space="preserve">MindGlide, which was trained on real archive scans plus synthetic scans with resolutions of 1–9 mm</w:t>
      </w:r>
      <w:r>
        <w:t xml:space="preserve"> </w:t>
      </w:r>
      <w:r>
        <w:t xml:space="preserve">(</w:t>
      </w:r>
      <w:hyperlink w:anchor="ref-goebl2025mindglide">
        <w:r>
          <w:rPr>
            <w:rStyle w:val="Hyperlink"/>
          </w:rPr>
          <w:t xml:space="preserve">Goebl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. Generative, contrast-adaptive models such as SAMSEG fit an atlas and a lesion</w:t>
      </w:r>
      <w:r>
        <w:t xml:space="preserve"> </w:t>
      </w:r>
      <w:r>
        <w:t xml:space="preserve">shape model to each scan</w:t>
      </w:r>
      <w:r>
        <w:t xml:space="preserve"> </w:t>
      </w:r>
      <w:r>
        <w:t xml:space="preserve">(</w:t>
      </w:r>
      <w:hyperlink w:anchor="ref-cerri2021samseg">
        <w:r>
          <w:rPr>
            <w:rStyle w:val="Hyperlink"/>
          </w:rPr>
          <w:t xml:space="preserve">Cerri et al. 2021</w:t>
        </w:r>
      </w:hyperlink>
      <w:r>
        <w:t xml:space="preserve">)</w:t>
      </w:r>
      <w:r>
        <w:t xml:space="preserve">. Supervised ensembles such as LST-AI (FLAIR plus T1)</w:t>
      </w:r>
      <w:r>
        <w:t xml:space="preserve"> </w:t>
      </w:r>
      <w:r>
        <w:t xml:space="preserve">(</w:t>
      </w:r>
      <w:hyperlink w:anchor="ref-wiltgen2024lstai">
        <w:r>
          <w:rPr>
            <w:rStyle w:val="Hyperlink"/>
          </w:rPr>
          <w:t xml:space="preserve">Wiltgen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 </w:t>
      </w:r>
      <w:r>
        <w:t xml:space="preserve">and FLAMeS (FLAIR only; nnU-Net</w:t>
      </w:r>
      <w:r>
        <w:t xml:space="preserve"> </w:t>
      </w:r>
      <w:r>
        <w:t xml:space="preserve">(</w:t>
      </w:r>
      <w:hyperlink w:anchor="ref-isensee2021nnunet">
        <w:r>
          <w:rPr>
            <w:rStyle w:val="Hyperlink"/>
          </w:rPr>
          <w:t xml:space="preserve">Isensee et al. 2021</w:t>
        </w:r>
      </w:hyperlink>
      <w:r>
        <w:t xml:space="preserve">)</w:t>
      </w:r>
      <w:r>
        <w:t xml:space="preserve">) are trained on labelled real</w:t>
      </w:r>
      <w:r>
        <w:t xml:space="preserve"> </w:t>
      </w:r>
      <w:r>
        <w:t xml:space="preserve">scans</w:t>
      </w:r>
      <w:r>
        <w:t xml:space="preserve"> </w:t>
      </w:r>
      <w:r>
        <w:t xml:space="preserve">(</w:t>
      </w:r>
      <w:hyperlink w:anchor="ref-dereskewicz2025flames">
        <w:r>
          <w:rPr>
            <w:rStyle w:val="Hyperlink"/>
          </w:rPr>
          <w:t xml:space="preserve">Dereskewicz, La Rosa, Dos Santos Silva,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. All of these run on a CPU, which matters for on-premise use in</w:t>
      </w:r>
      <w:r>
        <w:t xml:space="preserve"> </w:t>
      </w:r>
      <w:r>
        <w:t xml:space="preserve">hospitals without graphics processors.</w:t>
      </w:r>
    </w:p>
    <w:p>
      <w:pPr>
        <w:pStyle w:val="BodyText"/>
      </w:pPr>
      <w:r>
        <w:t xml:space="preserve">A tool built for heterogeneous resolution might be expected to beat a supervised model trained on</w:t>
      </w:r>
      <w:r>
        <w:t xml:space="preserve"> </w:t>
      </w:r>
      <w:r>
        <w:t xml:space="preserve">mostly high-resolution data when slices are thick. To our knowledge, this has not been tested</w:t>
      </w:r>
      <w:r>
        <w:t xml:space="preserve"> </w:t>
      </w:r>
      <w:r>
        <w:t xml:space="preserve">head-to-head on real thick-slice 2D FLAIR with expert masks from several independent sources. Tool</w:t>
      </w:r>
      <w:r>
        <w:t xml:space="preserve"> </w:t>
      </w:r>
      <w:r>
        <w:t xml:space="preserve">comparisons are often run by the developers of one of the tools, on data that may overlap with</w:t>
      </w:r>
      <w:r>
        <w:t xml:space="preserve"> </w:t>
      </w:r>
      <w:r>
        <w:t xml:space="preserve">training sets, and with analysis choices fixed after the results are seen</w:t>
      </w:r>
      <w:r>
        <w:t xml:space="preserve"> </w:t>
      </w:r>
      <w:r>
        <w:t xml:space="preserve">(</w:t>
      </w:r>
      <w:hyperlink w:anchor="ref-varoquaux2022failures">
        <w:r>
          <w:rPr>
            <w:rStyle w:val="Hyperlink"/>
          </w:rPr>
          <w:t xml:space="preserve">Varoquaux and Cheplygina 2022</w:t>
        </w:r>
      </w:hyperlink>
      <w:r>
        <w:t xml:space="preserve">;</w:t>
      </w:r>
      <w:r>
        <w:t xml:space="preserve"> </w:t>
      </w:r>
      <w:hyperlink w:anchor="ref-kapoor2023leakage">
        <w:r>
          <w:rPr>
            <w:rStyle w:val="Hyperlink"/>
          </w:rPr>
          <w:t xml:space="preserve">Kapoor and Narayanan 2023</w:t>
        </w:r>
      </w:hyperlink>
      <w:r>
        <w:t xml:space="preserve">)</w:t>
      </w:r>
      <w:r>
        <w:t xml:space="preserve">. Pre-registration fixes the questions, metrics and tests</w:t>
      </w:r>
      <w:r>
        <w:t xml:space="preserve"> </w:t>
      </w:r>
      <w:r>
        <w:t xml:space="preserve">before outcomes exist, and makes a negative result as informative as a positive one</w:t>
      </w:r>
      <w:r>
        <w:t xml:space="preserve"> </w:t>
      </w:r>
      <w:r>
        <w:t xml:space="preserve">(</w:t>
      </w:r>
      <w:hyperlink w:anchor="ref-nosek2018prereg">
        <w:r>
          <w:rPr>
            <w:rStyle w:val="Hyperlink"/>
          </w:rPr>
          <w:t xml:space="preserve">Nosek et al. 2018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We therefore pre-registered a paired benchmark of three public CPU tools — MindGlide, WMH-SynthSeg and</w:t>
      </w:r>
      <w:r>
        <w:t xml:space="preserve"> </w:t>
      </w:r>
      <w:r>
        <w:t xml:space="preserve">SAMSEG — against the FLAMeS 5-fold ensemble on 179 real thick-slice FLAIR scans from three public</w:t>
      </w:r>
      <w:r>
        <w:t xml:space="preserve"> </w:t>
      </w:r>
      <w:r>
        <w:t xml:space="preserve">cohorts, with LST-AI added on 1 mm scans. The primary question was whether any tool achieves a</w:t>
      </w:r>
      <w:r>
        <w:t xml:space="preserve"> </w:t>
      </w:r>
      <w:r>
        <w:t xml:space="preserve">different lesion-wise F1 or a different number of false lesions per scan than FLAMeS on thick slices;</w:t>
      </w:r>
      <w:r>
        <w:t xml:space="preserve"> </w:t>
      </w:r>
      <w:r>
        <w:t xml:space="preserve">a pre-stated reading rule defined when a tool</w:t>
      </w:r>
      <w:r>
        <w:t xml:space="preserve"> </w:t>
      </w:r>
      <w:r>
        <w:t xml:space="preserve">“outperforms”</w:t>
      </w:r>
      <w:r>
        <w:t xml:space="preserve"> </w:t>
      </w:r>
      <w:r>
        <w:t xml:space="preserve">FLAMeS. Secondary questions were the same</w:t>
      </w:r>
      <w:r>
        <w:t xml:space="preserve"> </w:t>
      </w:r>
      <w:r>
        <w:t xml:space="preserve">comparison on 1 mm FLAIR, whether a tool degrades less than FLAMeS from 1 mm to thick slices, and</w:t>
      </w:r>
      <w:r>
        <w:t xml:space="preserve"> </w:t>
      </w:r>
      <w:r>
        <w:t xml:space="preserve">whether giving MindGlide the non-skull-stripped FLAIR it was designed for changes its results. An</w:t>
      </w:r>
      <w:r>
        <w:t xml:space="preserve"> </w:t>
      </w:r>
      <w:r>
        <w:t xml:space="preserve">exploratory question asked whether disagreement with a second tool flags scans on which FLAMeS</w:t>
      </w:r>
      <w:r>
        <w:t xml:space="preserve"> </w:t>
      </w:r>
      <w:r>
        <w:t xml:space="preserve">performs poorly. The primary hypothesis was not supported.</w:t>
      </w:r>
    </w:p>
    <w:bookmarkEnd w:id="11"/>
    <w:bookmarkStart w:id="22" w:name="methods"/>
    <w:p>
      <w:pPr>
        <w:pStyle w:val="Heading1"/>
      </w:pPr>
      <w:r>
        <w:t xml:space="preserve">2. Methods</w:t>
      </w:r>
    </w:p>
    <w:bookmarkStart w:id="12" w:name="design-pre-registration-and-reporting"/>
    <w:p>
      <w:pPr>
        <w:pStyle w:val="Heading2"/>
      </w:pPr>
      <w:r>
        <w:t xml:space="preserve">2.1 Design, pre-registration and reporting</w:t>
      </w:r>
    </w:p>
    <w:p>
      <w:pPr>
        <w:pStyle w:val="FirstParagraph"/>
      </w:pPr>
      <w:r>
        <w:t xml:space="preserve">This is a retrospective, paired, multi-cohort benchmark on public de-identified data. The protocol</w:t>
      </w:r>
      <w:r>
        <w:t xml:space="preserve"> </w:t>
      </w:r>
      <w:r>
        <w:t xml:space="preserve">(version 1.0, 2026-10-21), the metric code (</w:t>
      </w:r>
      <w:r>
        <w:rPr>
          <w:rStyle w:val="VerbatimChar"/>
        </w:rPr>
        <w:t xml:space="preserve">research/paper_f/metrics.py</w:t>
      </w:r>
      <w:r>
        <w:t xml:space="preserve">), the evaluation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research/paper_f/evaluate.py</w:t>
      </w:r>
      <w:r>
        <w:t xml:space="preserve">) and the frozen list of input files with their SHA-256 hashes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research/paper_f/flames_inputs.json</w:t>
      </w:r>
      <w:r>
        <w:t xml:space="preserve">) were recorded in commit</w:t>
      </w:r>
      <w:r>
        <w:t xml:space="preserve"> </w:t>
      </w:r>
      <w:r>
        <w:rPr>
          <w:rStyle w:val="VerbatimChar"/>
        </w:rPr>
        <w:t xml:space="preserve">65a95e310168071703398aab3a53ba9fc0086e1a</w:t>
      </w:r>
      <w:r>
        <w:t xml:space="preserve"> </w:t>
      </w:r>
      <w:r>
        <w:t xml:space="preserve">(2026-10-21 20:45 UTC). The branch containing it was first</w:t>
      </w:r>
      <w:r>
        <w:t xml:space="preserve"> </w:t>
      </w:r>
      <w:r>
        <w:t xml:space="preserve">pushed to the public GitHub repository</w:t>
      </w:r>
      <w:r>
        <w:t xml:space="preserve"> </w:t>
      </w:r>
      <w:r>
        <w:rPr>
          <w:rStyle w:val="VerbatimChar"/>
        </w:rPr>
        <w:t xml:space="preserve">nicolasbonilla/medical-imaging-viewer</w:t>
      </w:r>
      <w:r>
        <w:t xml:space="preserve"> </w:t>
      </w:r>
      <w:r>
        <w:t xml:space="preserve">at 2026-10-21 20:58 UTC</w:t>
      </w:r>
      <w:r>
        <w:t xml:space="preserve"> </w:t>
      </w:r>
      <w:r>
        <w:t xml:space="preserve">(GitHub repository activity log), 40 minutes before the first tool run started (21:39 UTC). The</w:t>
      </w:r>
      <w:r>
        <w:t xml:space="preserve"> </w:t>
      </w:r>
      <w:r>
        <w:t xml:space="preserve">SHA-256 of the protocol file as stored at that commit is</w:t>
      </w:r>
      <w:r>
        <w:t xml:space="preserve"> </w:t>
      </w:r>
      <w:r>
        <w:rPr>
          <w:rStyle w:val="VerbatimChar"/>
        </w:rPr>
        <w:t xml:space="preserve">587ba9ffc1f07d559a0008728e97ec9e1e9455eaf0037e37bbcc52b8f5f284e2</w:t>
      </w:r>
      <w:r>
        <w:t xml:space="preserve">. Every later change was logged with</w:t>
      </w:r>
      <w:r>
        <w:t xml:space="preserve"> </w:t>
      </w:r>
      <w:r>
        <w:t xml:space="preserve">its date, reason and what had been seen (Section 2.10, Table 6). The pre-registration is time-stamped</w:t>
      </w:r>
      <w:r>
        <w:t xml:space="preserve"> </w:t>
      </w:r>
      <w:r>
        <w:t xml:space="preserve">by git and GitHub; it was not lodged with an independent registry. Reporting was guided by the CLAIM 2024 checklist</w:t>
      </w:r>
      <w:r>
        <w:t xml:space="preserve"> </w:t>
      </w:r>
      <w:r>
        <w:t xml:space="preserve">(</w:t>
      </w:r>
      <w:hyperlink w:anchor="ref-tejani2024claim">
        <w:r>
          <w:rPr>
            <w:rStyle w:val="Hyperlink"/>
          </w:rPr>
          <w:t xml:space="preserve">Tejani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 </w:t>
      </w:r>
      <w:r>
        <w:t xml:space="preserve">[TODO owner: complete and attach the checklist]. The final analysis ran once on the full outputs from commit</w:t>
      </w:r>
      <w:r>
        <w:t xml:space="preserve"> </w:t>
      </w:r>
      <w:r>
        <w:rPr>
          <w:rStyle w:val="VerbatimChar"/>
        </w:rPr>
        <w:t xml:space="preserve">7a9a24e8fa92c83ded210854fd8614f7be4dcd50</w:t>
      </w:r>
      <w:r>
        <w:t xml:space="preserve"> </w:t>
      </w:r>
      <w:r>
        <w:t xml:space="preserve">(2026-10-29 00:11 UTC; pushed 00:01 UTC), which records the SHA-256 of all 3,059 input files read.</w:t>
      </w:r>
    </w:p>
    <w:bookmarkEnd w:id="12"/>
    <w:bookmarkStart w:id="13" w:name="cohorts"/>
    <w:p>
      <w:pPr>
        <w:pStyle w:val="Heading2"/>
      </w:pPr>
      <w:r>
        <w:t xml:space="preserve">2.2 Cohorts</w:t>
      </w:r>
    </w:p>
    <w:p>
      <w:pPr>
        <w:pStyle w:val="FirstParagraph"/>
      </w:pPr>
      <w:r>
        <w:t xml:space="preserve">Five public cohorts with expert lesion masks were fixed in the protocol (Table 1): 324 scans of 265</w:t>
      </w:r>
      <w:r>
        <w:t xml:space="preserve"> </w:t>
      </w:r>
      <w:r>
        <w:t xml:space="preserve">patients. The inputs were the exact FLAIR files on which the FLAMeS maps had been computed; masks were</w:t>
      </w:r>
      <w:r>
        <w:t xml:space="preserve"> </w:t>
      </w:r>
      <w:r>
        <w:t xml:space="preserve">on the same grid.</w:t>
      </w:r>
    </w:p>
    <w:p>
      <w:pPr>
        <w:pStyle w:val="BodyText"/>
      </w:pPr>
      <w:r>
        <w:rPr>
          <w:b/>
          <w:bCs/>
        </w:rPr>
        <w:t xml:space="preserve">Isotropic band (1 mm; 145 scans, 105 patients).</w:t>
      </w:r>
      <w:r>
        <w:t xml:space="preserve"> </w:t>
      </w:r>
      <w:r>
        <w:t xml:space="preserve">MSLesSeg, the dataset of the ICPR 2024 challenge</w:t>
      </w:r>
      <w:r>
        <w:t xml:space="preserve"> </w:t>
      </w:r>
      <w:r>
        <w:t xml:space="preserve">(</w:t>
      </w:r>
      <w:hyperlink w:anchor="ref-guarnera2025mslesseg">
        <w:r>
          <w:rPr>
            <w:rStyle w:val="Hyperlink"/>
          </w:rPr>
          <w:t xml:space="preserve">Guarnera et al. 2025b</w:t>
        </w:r>
      </w:hyperlink>
      <w:r>
        <w:t xml:space="preserve">,</w:t>
      </w:r>
      <w:r>
        <w:t xml:space="preserve"> </w:t>
      </w:r>
      <w:hyperlink w:anchor="ref-guarnera2025mslessegdata">
        <w:r>
          <w:rPr>
            <w:rStyle w:val="Hyperlink"/>
          </w:rPr>
          <w:t xml:space="preserve">2025a</w:t>
        </w:r>
      </w:hyperlink>
      <w:r>
        <w:t xml:space="preserve">;</w:t>
      </w:r>
      <w:r>
        <w:t xml:space="preserve"> </w:t>
      </w:r>
      <w:hyperlink w:anchor="ref-rondinella2025icpr">
        <w:r>
          <w:rPr>
            <w:rStyle w:val="Hyperlink"/>
          </w:rPr>
          <w:t xml:space="preserve">Rondinella et al. 2025</w:t>
        </w:r>
      </w:hyperlink>
      <w:r>
        <w:t xml:space="preserve">)</w:t>
      </w:r>
      <w:r>
        <w:t xml:space="preserve">, provides 115 longitudinal scans of 75 patients (1.5 T, Catania) as</w:t>
      </w:r>
      <w:r>
        <w:t xml:space="preserve"> </w:t>
      </w:r>
      <w:r>
        <w:t xml:space="preserve">skull-stripped images on a 1 mm MNI grid; masks were drawn by one rater and validated by a</w:t>
      </w:r>
      <w:r>
        <w:t xml:space="preserve"> </w:t>
      </w:r>
      <w:r>
        <w:t xml:space="preserve">neuroradiologist and a neurologist. Ljubljana</w:t>
      </w:r>
      <w:r>
        <w:t xml:space="preserve"> </w:t>
      </w:r>
      <w:r>
        <w:t xml:space="preserve">(</w:t>
      </w:r>
      <w:hyperlink w:anchor="ref-lesjak2018ljubljana">
        <w:r>
          <w:rPr>
            <w:rStyle w:val="Hyperlink"/>
          </w:rPr>
          <w:t xml:space="preserve">Lesjak et al. 2018</w:t>
        </w:r>
      </w:hyperlink>
      <w:r>
        <w:t xml:space="preserve">)</w:t>
      </w:r>
      <w:r>
        <w:t xml:space="preserve"> </w:t>
      </w:r>
      <w:r>
        <w:t xml:space="preserve">provides 30 patients scanned with</w:t>
      </w:r>
      <w:r>
        <w:t xml:space="preserve"> </w:t>
      </w:r>
      <w:r>
        <w:t xml:space="preserve">3D FLAIR at 3 T, with a multi-rater consensus mask, also used on the 1 mm MNI grid.</w:t>
      </w:r>
    </w:p>
    <w:p>
      <w:pPr>
        <w:pStyle w:val="BodyText"/>
      </w:pPr>
      <w:r>
        <w:rPr>
          <w:b/>
          <w:bCs/>
        </w:rPr>
        <w:t xml:space="preserve">Thick band (&gt; 3 mm; 179 scans, 160 patients).</w:t>
      </w:r>
      <w:r>
        <w:t xml:space="preserve"> </w:t>
      </w:r>
      <w:r>
        <w:t xml:space="preserve">MS3SEG</w:t>
      </w:r>
      <w:r>
        <w:t xml:space="preserve"> </w:t>
      </w:r>
      <w:r>
        <w:t xml:space="preserve">(</w:t>
      </w:r>
      <w:hyperlink w:anchor="ref-bawil2026ms3seg">
        <w:r>
          <w:rPr>
            <w:rStyle w:val="Hyperlink"/>
          </w:rPr>
          <w:t xml:space="preserve">Bawil et al. 2026</w:t>
        </w:r>
      </w:hyperlink>
      <w:r>
        <w:t xml:space="preserve">;</w:t>
      </w:r>
      <w:r>
        <w:t xml:space="preserve"> </w:t>
      </w:r>
      <w:hyperlink w:anchor="ref-bawil2026ms3segdata">
        <w:r>
          <w:rPr>
            <w:rStyle w:val="Hyperlink"/>
          </w:rPr>
          <w:t xml:space="preserve">Bashiri Bawil 2026</w:t>
        </w:r>
      </w:hyperlink>
      <w:r>
        <w:t xml:space="preserve">)</w:t>
      </w:r>
      <w:r>
        <w:t xml:space="preserve">:</w:t>
      </w:r>
      <w:r>
        <w:t xml:space="preserve"> </w:t>
      </w:r>
      <w:r>
        <w:t xml:space="preserve">100 patients, one 1.5 T Toshiba scanner, axial 2D FLAIR, 0.898 × 0.898 mm in plane, 6.0–8.1 mm slice</w:t>
      </w:r>
      <w:r>
        <w:t xml:space="preserve"> </w:t>
      </w:r>
      <w:r>
        <w:t xml:space="preserve">spacing (median 7.2 mm). Its MS-lesion mask excludes periventricular hyperintensities that the</w:t>
      </w:r>
      <w:r>
        <w:t xml:space="preserve"> </w:t>
      </w:r>
      <w:r>
        <w:t xml:space="preserve">annotators judged not to be MS lesions. Muslim et al.</w:t>
      </w:r>
      <w:r>
        <w:t xml:space="preserve"> </w:t>
      </w:r>
      <w:r>
        <w:t xml:space="preserve">(</w:t>
      </w:r>
      <w:hyperlink w:anchor="ref-muslim2022dib">
        <w:r>
          <w:rPr>
            <w:rStyle w:val="Hyperlink"/>
          </w:rPr>
          <w:t xml:space="preserve">Muslim et al. 2022</w:t>
        </w:r>
      </w:hyperlink>
      <w:r>
        <w:t xml:space="preserve">;</w:t>
      </w:r>
      <w:r>
        <w:t xml:space="preserve"> </w:t>
      </w:r>
      <w:hyperlink w:anchor="ref-muslim2022data">
        <w:r>
          <w:rPr>
            <w:rStyle w:val="Hyperlink"/>
          </w:rPr>
          <w:t xml:space="preserve">Muslim 2022</w:t>
        </w:r>
      </w:hyperlink>
      <w:r>
        <w:t xml:space="preserve">)</w:t>
      </w:r>
      <w:r>
        <w:t xml:space="preserve">: 51 axial</w:t>
      </w:r>
      <w:r>
        <w:t xml:space="preserve"> </w:t>
      </w:r>
      <w:r>
        <w:t xml:space="preserve">scans (of 60; 9 coronal or sagittal scans were excluded by a pre-stated rule), 1.5 T, about 20</w:t>
      </w:r>
      <w:r>
        <w:t xml:space="preserve"> </w:t>
      </w:r>
      <w:r>
        <w:t xml:space="preserve">centres, 4.86–8.3 mm slice spacing (median 6.0 mm). The files carry no geometry, so the in-plane pixel</w:t>
      </w:r>
      <w:r>
        <w:t xml:space="preserve"> </w:t>
      </w:r>
      <w:r>
        <w:t xml:space="preserve">size (0.41–0.97 mm) was estimated from head dimensions calibrated on MS3SEG (expected error about ±5%</w:t>
      </w:r>
      <w:r>
        <w:t xml:space="preserve"> </w:t>
      </w:r>
      <w:r>
        <w:t xml:space="preserve">per axis); left and right cannot be recovered. PediMS</w:t>
      </w:r>
      <w:r>
        <w:t xml:space="preserve"> </w:t>
      </w:r>
      <w:r>
        <w:t xml:space="preserve">(</w:t>
      </w:r>
      <w:hyperlink w:anchor="ref-popa2025pedims">
        <w:r>
          <w:rPr>
            <w:rStyle w:val="Hyperlink"/>
          </w:rPr>
          <w:t xml:space="preserve">Popa et al. 2025b</w:t>
        </w:r>
      </w:hyperlink>
      <w:r>
        <w:t xml:space="preserve">,</w:t>
      </w:r>
      <w:r>
        <w:t xml:space="preserve"> </w:t>
      </w:r>
      <w:hyperlink w:anchor="ref-popa2025pedimsdata">
        <w:r>
          <w:rPr>
            <w:rStyle w:val="Hyperlink"/>
          </w:rPr>
          <w:t xml:space="preserve">2025a</w:t>
        </w:r>
      </w:hyperlink>
      <w:r>
        <w:t xml:space="preserve">)</w:t>
      </w:r>
      <w:r>
        <w:t xml:space="preserve">: 28</w:t>
      </w:r>
      <w:r>
        <w:t xml:space="preserve"> </w:t>
      </w:r>
      <w:r>
        <w:t xml:space="preserve">longitudinal scans of 9 children, 3 T Siemens Skyra, 0.75 × 0.75 × 3.9 mm; one child has Baló’s</w:t>
      </w:r>
      <w:r>
        <w:t xml:space="preserve"> </w:t>
      </w:r>
      <w:r>
        <w:t xml:space="preserve">concentric sclerosis.</w:t>
      </w:r>
    </w:p>
    <w:p>
      <w:pPr>
        <w:pStyle w:val="BodyText"/>
      </w:pPr>
      <w:r>
        <w:t xml:space="preserve">Skull stripping: MSLesSeg and Ljubljana were distributed skull-stripped; PediMS ships SynthStrip</w:t>
      </w:r>
      <w:r>
        <w:t xml:space="preserve"> </w:t>
      </w:r>
      <w:r>
        <w:t xml:space="preserve">brains</w:t>
      </w:r>
      <w:r>
        <w:t xml:space="preserve"> </w:t>
      </w:r>
      <w:r>
        <w:t xml:space="preserve">(</w:t>
      </w:r>
      <w:hyperlink w:anchor="ref-hoopes2022synthstrip">
        <w:r>
          <w:rPr>
            <w:rStyle w:val="Hyperlink"/>
          </w:rPr>
          <w:t xml:space="preserve">Hoopes et al. 2022</w:t>
        </w:r>
      </w:hyperlink>
      <w:r>
        <w:t xml:space="preserve">)</w:t>
      </w:r>
      <w:r>
        <w:t xml:space="preserve">; MS3SEG and Muslim were stripped with HD-BET 2.0.1 on CPU without</w:t>
      </w:r>
      <w:r>
        <w:t xml:space="preserve"> </w:t>
      </w:r>
      <w:r>
        <w:t xml:space="preserve">test-time augmentation</w:t>
      </w:r>
      <w:r>
        <w:t xml:space="preserve"> </w:t>
      </w:r>
      <w:r>
        <w:t xml:space="preserve">(</w:t>
      </w:r>
      <w:hyperlink w:anchor="ref-isensee2019hdbet">
        <w:r>
          <w:rPr>
            <w:rStyle w:val="Hyperlink"/>
          </w:rPr>
          <w:t xml:space="preserve">Isensee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2019</w:t>
        </w:r>
      </w:hyperlink>
      <w:r>
        <w:t xml:space="preserve">)</w:t>
      </w:r>
      <w:r>
        <w:t xml:space="preserve">. Bands were defined by the largest voxel dimension of the</w:t>
      </w:r>
      <w:r>
        <w:t xml:space="preserve"> </w:t>
      </w:r>
      <w:r>
        <w:t xml:space="preserve">grid the tools received: iso ≤ 1.5 mm and thick &gt; 3 mm, with exploratory sub-bands 3–5.5 mm (PediMS</w:t>
      </w:r>
      <w:r>
        <w:t xml:space="preserve"> </w:t>
      </w:r>
      <w:r>
        <w:t xml:space="preserve">and 24 Muslim scans) and &gt; 5.5 mm (MS3SEG and 27 Muslim scans).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Cohorts. Slice spacing from the headers of the files the tools received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data/extra_numbers.json</w:t>
      </w:r>
      <w:r>
        <w:t xml:space="preserve">); expert lesions counted after the 14.1 mm³ size filter.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 (licence)</w:t>
            </w:r>
          </w:p>
        </w:tc>
        <w:tc>
          <w:tcPr/>
          <w:p>
            <w:pPr>
              <w:pStyle w:val="Compact"/>
            </w:pPr>
            <w:r>
              <w:t xml:space="preserve">Scans / patients</w:t>
            </w:r>
          </w:p>
        </w:tc>
        <w:tc>
          <w:tcPr/>
          <w:p>
            <w:pPr>
              <w:pStyle w:val="Compact"/>
            </w:pPr>
            <w:r>
              <w:t xml:space="preserve">Field, acquisition</w:t>
            </w:r>
          </w:p>
        </w:tc>
        <w:tc>
          <w:tcPr/>
          <w:p>
            <w:pPr>
              <w:pStyle w:val="Compact"/>
            </w:pPr>
            <w:r>
              <w:t xml:space="preserve">Grid given to the tools</w:t>
            </w:r>
          </w:p>
        </w:tc>
        <w:tc>
          <w:tcPr/>
          <w:p>
            <w:pPr>
              <w:pStyle w:val="Compact"/>
            </w:pPr>
            <w:r>
              <w:t xml:space="preserve">Skull stripping</w:t>
            </w:r>
          </w:p>
        </w:tc>
        <w:tc>
          <w:tcPr/>
          <w:p>
            <w:pPr>
              <w:pStyle w:val="Compact"/>
            </w:pPr>
            <w:r>
              <w:t xml:space="preserve">Reference 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MSLesSeg (CC BY 4.0)</w:t>
            </w:r>
          </w:p>
        </w:tc>
        <w:tc>
          <w:tcPr/>
          <w:p>
            <w:pPr>
              <w:pStyle w:val="Compact"/>
            </w:pPr>
            <w:r>
              <w:t xml:space="preserve">115 / 75</w:t>
            </w:r>
          </w:p>
        </w:tc>
        <w:tc>
          <w:tcPr/>
          <w:p>
            <w:pPr>
              <w:pStyle w:val="Compact"/>
            </w:pPr>
            <w:r>
              <w:t xml:space="preserve">1.5 T, one city, longitudinal</w:t>
            </w:r>
          </w:p>
        </w:tc>
        <w:tc>
          <w:tcPr/>
          <w:p>
            <w:pPr>
              <w:pStyle w:val="Compact"/>
            </w:pPr>
            <w:r>
              <w:t xml:space="preserve">MNI 1 mm iso</w:t>
            </w:r>
          </w:p>
        </w:tc>
        <w:tc>
          <w:tcPr/>
          <w:p>
            <w:pPr>
              <w:pStyle w:val="Compact"/>
            </w:pPr>
            <w:r>
              <w:t xml:space="preserve">provided</w:t>
            </w:r>
          </w:p>
        </w:tc>
        <w:tc>
          <w:tcPr/>
          <w:p>
            <w:pPr>
              <w:pStyle w:val="Compact"/>
            </w:pPr>
            <w:r>
              <w:t xml:space="preserve">one rater, validated by neuroradiologist and neurologist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Ljubljana (CC BY)</w:t>
            </w:r>
          </w:p>
        </w:tc>
        <w:tc>
          <w:tcPr/>
          <w:p>
            <w:pPr>
              <w:pStyle w:val="Compact"/>
            </w:pPr>
            <w:r>
              <w:t xml:space="preserve">30 / 30</w:t>
            </w:r>
          </w:p>
        </w:tc>
        <w:tc>
          <w:tcPr/>
          <w:p>
            <w:pPr>
              <w:pStyle w:val="Compact"/>
            </w:pPr>
            <w:r>
              <w:t xml:space="preserve">3 T Siemens, 3D FLAIR</w:t>
            </w:r>
          </w:p>
        </w:tc>
        <w:tc>
          <w:tcPr/>
          <w:p>
            <w:pPr>
              <w:pStyle w:val="Compact"/>
            </w:pPr>
            <w:r>
              <w:t xml:space="preserve">MNI 1 mm iso</w:t>
            </w:r>
          </w:p>
        </w:tc>
        <w:tc>
          <w:tcPr/>
          <w:p>
            <w:pPr>
              <w:pStyle w:val="Compact"/>
            </w:pPr>
            <w:r>
              <w:t xml:space="preserve">provided</w:t>
            </w:r>
          </w:p>
        </w:tc>
        <w:tc>
          <w:tcPr/>
          <w:p>
            <w:pPr>
              <w:pStyle w:val="Compact"/>
            </w:pPr>
            <w:r>
              <w:t xml:space="preserve">three-rater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MS3SEG (CC BY 4.0)</w:t>
            </w:r>
          </w:p>
        </w:tc>
        <w:tc>
          <w:tcPr/>
          <w:p>
            <w:pPr>
              <w:pStyle w:val="Compact"/>
            </w:pPr>
            <w:r>
              <w:t xml:space="preserve">100 / 100</w:t>
            </w:r>
          </w:p>
        </w:tc>
        <w:tc>
          <w:tcPr/>
          <w:p>
            <w:pPr>
              <w:pStyle w:val="Compact"/>
            </w:pPr>
            <w:r>
              <w:t xml:space="preserve">1.5 T Toshiba, axial 2D</w:t>
            </w:r>
          </w:p>
        </w:tc>
        <w:tc>
          <w:tcPr/>
          <w:p>
            <w:pPr>
              <w:pStyle w:val="Compact"/>
            </w:pPr>
            <w:r>
              <w:t xml:space="preserve">0.898² × 6.0–8.1 mm</w:t>
            </w:r>
          </w:p>
        </w:tc>
        <w:tc>
          <w:tcPr/>
          <w:p>
            <w:pPr>
              <w:pStyle w:val="Compact"/>
            </w:pPr>
            <w:r>
              <w:t xml:space="preserve">HD-BET 2.0.1</w:t>
            </w:r>
          </w:p>
        </w:tc>
        <w:tc>
          <w:tcPr/>
          <w:p>
            <w:pPr>
              <w:pStyle w:val="Compact"/>
            </w:pPr>
            <w:r>
              <w:t xml:space="preserve">junior annotator and senior neuroradiologist;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WMH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Muslim et al. (CC BY 4.0)</w:t>
            </w:r>
          </w:p>
        </w:tc>
        <w:tc>
          <w:tcPr/>
          <w:p>
            <w:pPr>
              <w:pStyle w:val="Compact"/>
            </w:pPr>
            <w:r>
              <w:t xml:space="preserve">51 / 51</w:t>
            </w:r>
          </w:p>
        </w:tc>
        <w:tc>
          <w:tcPr/>
          <w:p>
            <w:pPr>
              <w:pStyle w:val="Compact"/>
            </w:pPr>
            <w:r>
              <w:t xml:space="preserve">1.5 T, ~20 centres, axial 2D</w:t>
            </w:r>
          </w:p>
        </w:tc>
        <w:tc>
          <w:tcPr/>
          <w:p>
            <w:pPr>
              <w:pStyle w:val="Compact"/>
            </w:pPr>
            <w:r>
              <w:t xml:space="preserve">0.41–0.97² (estimated) × 4.86–8.3 mm</w:t>
            </w:r>
          </w:p>
        </w:tc>
        <w:tc>
          <w:tcPr/>
          <w:p>
            <w:pPr>
              <w:pStyle w:val="Compact"/>
            </w:pPr>
            <w:r>
              <w:t xml:space="preserve">HD-BET 2.0.1</w:t>
            </w:r>
          </w:p>
        </w:tc>
        <w:tc>
          <w:tcPr/>
          <w:p>
            <w:pPr>
              <w:pStyle w:val="Compact"/>
            </w:pPr>
            <w:r>
              <w:t xml:space="preserve">resident → consultant radiologist → neurologist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PediMS (CC BY 4.0)</w:t>
            </w:r>
          </w:p>
        </w:tc>
        <w:tc>
          <w:tcPr/>
          <w:p>
            <w:pPr>
              <w:pStyle w:val="Compact"/>
            </w:pPr>
            <w:r>
              <w:t xml:space="preserve">28 / 9</w:t>
            </w:r>
          </w:p>
        </w:tc>
        <w:tc>
          <w:tcPr/>
          <w:p>
            <w:pPr>
              <w:pStyle w:val="Compact"/>
            </w:pPr>
            <w:r>
              <w:t xml:space="preserve">3 T Siemens, 2D, children</w:t>
            </w:r>
          </w:p>
        </w:tc>
        <w:tc>
          <w:tcPr/>
          <w:p>
            <w:pPr>
              <w:pStyle w:val="Compact"/>
            </w:pPr>
            <w:r>
              <w:t xml:space="preserve">0.75² × 3.9 mm</w:t>
            </w:r>
          </w:p>
        </w:tc>
        <w:tc>
          <w:tcPr/>
          <w:p>
            <w:pPr>
              <w:pStyle w:val="Compact"/>
            </w:pPr>
            <w:r>
              <w:t xml:space="preserve">SynthStrip (dataset)</w:t>
            </w:r>
          </w:p>
        </w:tc>
        <w:tc>
          <w:tcPr/>
          <w:p>
            <w:pPr>
              <w:pStyle w:val="Compact"/>
            </w:pPr>
            <w:r>
              <w:t xml:space="preserve">one rater, validated by paediatric neurologist and radiologist</w:t>
            </w:r>
          </w:p>
        </w:tc>
      </w:tr>
    </w:tbl>
    <w:p>
      <w:pPr>
        <w:pStyle w:val="BodyText"/>
      </w:pPr>
      <w:r>
        <w:t xml:space="preserve">In the isotropic band the FLAMeS comparison set contained 3,463 expert lesions, 1,209 (34.9%) of them</w:t>
      </w:r>
      <w:r>
        <w:t xml:space="preserve"> </w:t>
      </w:r>
      <w:r>
        <w:t xml:space="preserve">14–50 mm³; in the thick band 5,993 expert lesions, 1,248 (20.8%) of them 14–50 mm³. No scan had an</w:t>
      </w:r>
      <w:r>
        <w:t xml:space="preserve"> </w:t>
      </w:r>
      <w:r>
        <w:t xml:space="preserve">empty reference.</w:t>
      </w:r>
    </w:p>
    <w:bookmarkEnd w:id="13"/>
    <w:bookmarkStart w:id="14" w:name="tools"/>
    <w:p>
      <w:pPr>
        <w:pStyle w:val="Heading2"/>
      </w:pPr>
      <w:r>
        <w:t xml:space="preserve">2.3 Tools</w:t>
      </w:r>
    </w:p>
    <w:p>
      <w:pPr>
        <w:pStyle w:val="FirstParagraph"/>
      </w:pPr>
      <w:r>
        <w:t xml:space="preserve">Table 2 lists the tools; full container digests and weight hashes are in Appendix Table A1.</w:t>
      </w:r>
      <w:r>
        <w:t xml:space="preserve"> </w:t>
      </w:r>
      <w:r>
        <w:rPr>
          <w:b/>
          <w:bCs/>
        </w:rPr>
        <w:t xml:space="preserve">FLAMeS</w:t>
      </w:r>
      <w:r>
        <w:t xml:space="preserve"> </w:t>
      </w:r>
      <w:r>
        <w:t xml:space="preserve">is an nnU-Net v2</w:t>
      </w:r>
      <w:r>
        <w:t xml:space="preserve"> </w:t>
      </w:r>
      <w:r>
        <w:t xml:space="preserve">(</w:t>
      </w:r>
      <w:hyperlink w:anchor="ref-isensee2021nnunet">
        <w:r>
          <w:rPr>
            <w:rStyle w:val="Hyperlink"/>
          </w:rPr>
          <w:t xml:space="preserve">Isensee et al. 2021</w:t>
        </w:r>
      </w:hyperlink>
      <w:r>
        <w:t xml:space="preserve">)</w:t>
      </w:r>
      <w:r>
        <w:t xml:space="preserve"> </w:t>
      </w:r>
      <w:r>
        <w:t xml:space="preserve">FLAIR-only model released as five cross-validation</w:t>
      </w:r>
      <w:r>
        <w:t xml:space="preserve"> </w:t>
      </w:r>
      <w:r>
        <w:t xml:space="preserve">folds (Zenodo 17955359, version 2.0, CC BY 4.0)</w:t>
      </w:r>
      <w:r>
        <w:t xml:space="preserve"> </w:t>
      </w:r>
      <w:r>
        <w:t xml:space="preserve">(</w:t>
      </w:r>
      <w:hyperlink w:anchor="ref-larosa2025flameszenodo">
        <w:r>
          <w:rPr>
            <w:rStyle w:val="Hyperlink"/>
          </w:rPr>
          <w:t xml:space="preserve">La Rosa 2025</w:t>
        </w:r>
      </w:hyperlink>
      <w:r>
        <w:t xml:space="preserve">;</w:t>
      </w:r>
      <w:r>
        <w:t xml:space="preserve"> </w:t>
      </w:r>
      <w:hyperlink w:anchor="ref-dereskewicz2025flames">
        <w:r>
          <w:rPr>
            <w:rStyle w:val="Hyperlink"/>
          </w:rPr>
          <w:t xml:space="preserve">Dereskewicz, La Rosa, Dos Santos Silva,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;</w:t>
      </w:r>
      <w:r>
        <w:t xml:space="preserve"> </w:t>
      </w:r>
      <w:hyperlink w:anchor="ref-dereskewicz2025flamespreprint">
        <w:r>
          <w:rPr>
            <w:rStyle w:val="Hyperlink"/>
          </w:rPr>
          <w:t xml:space="preserve">Dereskewicz, La Rosa, Santos Silva,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. Its</w:t>
      </w:r>
      <w:r>
        <w:t xml:space="preserve"> </w:t>
      </w:r>
      <w:r>
        <w:t xml:space="preserve">maps had been computed for earlier studies on the same inputs (4 vCPU, no test-time mirroring, tile</w:t>
      </w:r>
      <w:r>
        <w:t xml:space="preserve"> </w:t>
      </w:r>
      <w:r>
        <w:t xml:space="preserve">step 0.5 with Gaussian weighting, PyTorch 2.14.1 CPU build); the prediction was the mean of the five</w:t>
      </w:r>
      <w:r>
        <w:t xml:space="preserve"> </w:t>
      </w:r>
      <w:r>
        <w:t xml:space="preserve">fold probabilities thresholded at 0.5.</w:t>
      </w:r>
      <w:r>
        <w:t xml:space="preserve"> </w:t>
      </w:r>
      <w:r>
        <w:rPr>
          <w:b/>
          <w:bCs/>
        </w:rPr>
        <w:t xml:space="preserve">LST-AI</w:t>
      </w:r>
      <w:r>
        <w:t xml:space="preserve"> </w:t>
      </w:r>
      <w:r>
        <w:t xml:space="preserve">1.2.0 (three U-Nets, FLAIR + T1)</w:t>
      </w:r>
      <w:r>
        <w:t xml:space="preserve"> </w:t>
      </w:r>
      <w:r>
        <w:t xml:space="preserve">(</w:t>
      </w:r>
      <w:hyperlink w:anchor="ref-wiltgen2024lstai">
        <w:r>
          <w:rPr>
            <w:rStyle w:val="Hyperlink"/>
          </w:rPr>
          <w:t xml:space="preserve">Wiltgen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 </w:t>
      </w:r>
      <w:r>
        <w:t xml:space="preserve">had been run on the 1 mm cohorts only (144 scans; one MSLesSeg scan has a blank T1); its ensemble</w:t>
      </w:r>
      <w:r>
        <w:t xml:space="preserve"> </w:t>
      </w:r>
      <w:r>
        <w:t xml:space="preserve">probability was thresholded at 0.5, LST-AI’s own binarisation.</w:t>
      </w:r>
      <w:r>
        <w:t xml:space="preserve"> </w:t>
      </w:r>
      <w:r>
        <w:rPr>
          <w:b/>
          <w:bCs/>
        </w:rPr>
        <w:t xml:space="preserve">MindGlide</w:t>
      </w:r>
      <w:r>
        <w:t xml:space="preserve"> </w:t>
      </w:r>
      <w:r>
        <w:t xml:space="preserve">1.3.0</w:t>
      </w:r>
      <w:r>
        <w:t xml:space="preserve"> </w:t>
      </w:r>
      <w:r>
        <w:t xml:space="preserve">(</w:t>
      </w:r>
      <w:hyperlink w:anchor="ref-goebl2025mindglide">
        <w:r>
          <w:rPr>
            <w:rStyle w:val="Hyperlink"/>
          </w:rPr>
          <w:t xml:space="preserve">Goebl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 </w:t>
      </w:r>
      <w:r>
        <w:t xml:space="preserve">returns a label map on the input grid (lesion = label 18).</w:t>
      </w:r>
      <w:r>
        <w:t xml:space="preserve"> </w:t>
      </w:r>
      <w:r>
        <w:rPr>
          <w:b/>
          <w:bCs/>
        </w:rPr>
        <w:t xml:space="preserve">WMH-SynthSeg</w:t>
      </w:r>
      <w:r>
        <w:t xml:space="preserve"> </w:t>
      </w:r>
      <w:r>
        <w:t xml:space="preserve">(</w:t>
      </w:r>
      <w:hyperlink w:anchor="ref-laso2024wmhsynthseg">
        <w:r>
          <w:rPr>
            <w:rStyle w:val="Hyperlink"/>
          </w:rPr>
          <w:t xml:space="preserve">Laso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SAMSEG</w:t>
      </w:r>
      <w:r>
        <w:t xml:space="preserve"> </w:t>
      </w:r>
      <w:r>
        <w:t xml:space="preserve">with its lesion model</w:t>
      </w:r>
      <w:r>
        <w:t xml:space="preserve"> </w:t>
      </w:r>
      <w:r>
        <w:t xml:space="preserve">(</w:t>
      </w:r>
      <w:hyperlink w:anchor="ref-cerri2021samseg">
        <w:r>
          <w:rPr>
            <w:rStyle w:val="Hyperlink"/>
          </w:rPr>
          <w:t xml:space="preserve">Cerri et al. 2021</w:t>
        </w:r>
      </w:hyperlink>
      <w:r>
        <w:t xml:space="preserve">)</w:t>
      </w:r>
      <w:r>
        <w:t xml:space="preserve"> </w:t>
      </w:r>
      <w:r>
        <w:t xml:space="preserve">were run from</w:t>
      </w:r>
      <w:r>
        <w:t xml:space="preserve"> </w:t>
      </w:r>
      <w:r>
        <w:t xml:space="preserve">FreeSurfer 8.2.0</w:t>
      </w:r>
      <w:r>
        <w:t xml:space="preserve"> </w:t>
      </w:r>
      <w:r>
        <w:t xml:space="preserve">(</w:t>
      </w:r>
      <w:hyperlink w:anchor="ref-fischl2012freesurfer">
        <w:r>
          <w:rPr>
            <w:rStyle w:val="Hyperlink"/>
          </w:rPr>
          <w:t xml:space="preserve">Fischl 2012</w:t>
        </w:r>
      </w:hyperlink>
      <w:r>
        <w:t xml:space="preserve">)</w:t>
      </w:r>
      <w:r>
        <w:t xml:space="preserve"> </w:t>
      </w:r>
      <w:r>
        <w:t xml:space="preserve">(labels 77 and 99). LST-AI was not run on the thick cohorts</w:t>
      </w:r>
      <w:r>
        <w:t xml:space="preserve"> </w:t>
      </w:r>
      <w:r>
        <w:t xml:space="preserve">because it needs a co-registered T1 that was not prepared; tools needing a GPU, MATLAB or per-site</w:t>
      </w:r>
      <w:r>
        <w:t xml:space="preserve"> </w:t>
      </w:r>
      <w:r>
        <w:t xml:space="preserve">training were excluded in the protocol.</w:t>
      </w:r>
    </w:p>
    <w:p>
      <w:pPr>
        <w:pStyle w:val="BodyText"/>
      </w:pPr>
      <w:r>
        <w:rPr>
          <w:b/>
          <w:bCs/>
        </w:rPr>
        <w:t xml:space="preserve">Table 2.</w:t>
      </w:r>
      <w:r>
        <w:t xml:space="preserve"> </w:t>
      </w:r>
      <w:r>
        <w:t xml:space="preserve">Tools, training data and overlap with the five cohorts.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Input; lesion output</w:t>
            </w:r>
          </w:p>
        </w:tc>
        <w:tc>
          <w:tcPr/>
          <w:p>
            <w:pPr>
              <w:pStyle w:val="Compact"/>
            </w:pPr>
            <w:r>
              <w:t xml:space="preserve">Training data (as published)</w:t>
            </w:r>
          </w:p>
        </w:tc>
        <w:tc>
          <w:tcPr/>
          <w:p>
            <w:pPr>
              <w:pStyle w:val="Compact"/>
            </w:pPr>
            <w:r>
              <w:t xml:space="preserve">Overlap with our cohorts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FLAMeS (reference)</w:t>
            </w:r>
          </w:p>
        </w:tc>
        <w:tc>
          <w:tcPr/>
          <w:p>
            <w:pPr>
              <w:pStyle w:val="Compact"/>
            </w:pPr>
            <w:r>
              <w:t xml:space="preserve">weights v2.0 (2025-12-16), nnU-Net v2, 5 folds</w:t>
            </w:r>
          </w:p>
        </w:tc>
        <w:tc>
          <w:tcPr/>
          <w:p>
            <w:pPr>
              <w:pStyle w:val="Compact"/>
            </w:pPr>
            <w:r>
              <w:t xml:space="preserve">FLAIR; mean fold probability &gt; 0.5</w:t>
            </w:r>
          </w:p>
        </w:tc>
        <w:tc>
          <w:tcPr/>
          <w:p>
            <w:pPr>
              <w:pStyle w:val="Compact"/>
            </w:pPr>
            <w:r>
              <w:t xml:space="preserve">668 FLAIR scans of 575 people with MS from seven sites, including ISBI-2015 (20 scans), MSSEG-2016 (53) and Ljubljana (20)</w:t>
            </w:r>
          </w:p>
        </w:tc>
        <w:tc>
          <w:tcPr/>
          <w:p>
            <w:pPr>
              <w:pStyle w:val="Compact"/>
            </w:pPr>
            <w:r>
              <w:t xml:space="preserve">20 Ljubljana scans in training → excluded from every FLAMeS comparison; MSLesSeg was one of its external test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LST-AI</w:t>
            </w:r>
          </w:p>
        </w:tc>
        <w:tc>
          <w:tcPr/>
          <w:p>
            <w:pPr>
              <w:pStyle w:val="Compact"/>
            </w:pPr>
            <w:r>
              <w:t xml:space="preserve">1.2.0 (Docker digest, Table A1)</w:t>
            </w:r>
          </w:p>
        </w:tc>
        <w:tc>
          <w:tcPr/>
          <w:p>
            <w:pPr>
              <w:pStyle w:val="Compact"/>
            </w:pPr>
            <w:r>
              <w:t xml:space="preserve">FLAIR + T1; probability &gt; 0.5</w:t>
            </w:r>
          </w:p>
        </w:tc>
        <w:tc>
          <w:tcPr/>
          <w:p>
            <w:pPr>
              <w:pStyle w:val="Compact"/>
            </w:pPr>
            <w:r>
              <w:t xml:space="preserve">491 in-house 3D FLAIR + T1 scans, one centre</w:t>
            </w:r>
          </w:p>
        </w:tc>
        <w:tc>
          <w:tcPr/>
          <w:p>
            <w:pPr>
              <w:pStyle w:val="Compact"/>
            </w:pPr>
            <w:r>
              <w:t xml:space="preserve">none; Ljubljana was one of its published test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MindGlide</w:t>
            </w:r>
          </w:p>
        </w:tc>
        <w:tc>
          <w:tcPr/>
          <w:p>
            <w:pPr>
              <w:pStyle w:val="Compact"/>
            </w:pPr>
            <w:r>
              <w:t xml:space="preserve">1.3.0 (container and weights hash, Table A1)</w:t>
            </w:r>
          </w:p>
        </w:tc>
        <w:tc>
          <w:tcPr/>
          <w:p>
            <w:pPr>
              <w:pStyle w:val="Compact"/>
            </w:pPr>
            <w:r>
              <w:t xml:space="preserve">FLAIR; label 18</w:t>
            </w:r>
          </w:p>
        </w:tc>
        <w:tc>
          <w:tcPr/>
          <w:p>
            <w:pPr>
              <w:pStyle w:val="Compact"/>
            </w:pPr>
            <w:r>
              <w:t xml:space="preserve">4,247 real scans from clinical-trial and academic archives + 4,303 synthetic scans of random 1–9 mm resolution; labels from an automated method</w:t>
            </w:r>
          </w:p>
        </w:tc>
        <w:tc>
          <w:tcPr/>
          <w:p>
            <w:pPr>
              <w:pStyle w:val="Compact"/>
            </w:pPr>
            <w:r>
              <w:t xml:space="preserve">none; Ljubljana and ISBI-2015 in its external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WMH-SynthSeg</w:t>
            </w:r>
          </w:p>
        </w:tc>
        <w:tc>
          <w:tcPr/>
          <w:p>
            <w:pPr>
              <w:pStyle w:val="Compact"/>
            </w:pPr>
            <w:r>
              <w:t xml:space="preserve">FreeSurfer 8.2.0; model v10 (231110)</w:t>
            </w:r>
          </w:p>
        </w:tc>
        <w:tc>
          <w:tcPr/>
          <w:p>
            <w:pPr>
              <w:pStyle w:val="Compact"/>
            </w:pPr>
            <w:r>
              <w:t xml:space="preserve">FLAIR; label 77 (WMH)</w:t>
            </w:r>
          </w:p>
        </w:tc>
        <w:tc>
          <w:tcPr/>
          <w:p>
            <w:pPr>
              <w:pStyle w:val="Compact"/>
            </w:pPr>
            <w:r>
              <w:t xml:space="preserve">synthetic images generated from label maps (including ISBI-2015 and MSSEG-2016), random slice spacing 2.5–8.5 mm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SAMSEG</w:t>
            </w:r>
            <w:r>
              <w:t xml:space="preserve"> </w:t>
            </w:r>
            <w:r>
              <w:rPr>
                <w:rStyle w:val="VerbatimChar"/>
              </w:rPr>
              <w:t xml:space="preserve">--lesion</w:t>
            </w:r>
          </w:p>
        </w:tc>
        <w:tc>
          <w:tcPr/>
          <w:p>
            <w:pPr>
              <w:pStyle w:val="Compact"/>
            </w:pPr>
            <w:r>
              <w:t xml:space="preserve">FreeSurfer 8.2.0</w:t>
            </w:r>
          </w:p>
        </w:tc>
        <w:tc>
          <w:tcPr/>
          <w:p>
            <w:pPr>
              <w:pStyle w:val="Compact"/>
            </w:pPr>
            <w:r>
              <w:t xml:space="preserve">FLAIR; label 99</w:t>
            </w:r>
          </w:p>
        </w:tc>
        <w:tc>
          <w:tcPr/>
          <w:p>
            <w:pPr>
              <w:pStyle w:val="Compact"/>
            </w:pPr>
            <w:r>
              <w:t xml:space="preserve">atlas from 20 subjects; lesion shape model from 212 MS subjects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Identifying the FLAMeS training scans.</w:t>
      </w:r>
      <w:r>
        <w:t xml:space="preserve"> </w:t>
      </w:r>
      <w:r>
        <w:t xml:space="preserve">The FLAMeS paper lists 20 Ljubljana scans in training</w:t>
      </w:r>
      <w:r>
        <w:t xml:space="preserve"> </w:t>
      </w:r>
      <w:r>
        <w:t xml:space="preserve">without naming them</w:t>
      </w:r>
      <w:r>
        <w:t xml:space="preserve"> </w:t>
      </w:r>
      <w:r>
        <w:t xml:space="preserve">(</w:t>
      </w:r>
      <w:hyperlink w:anchor="ref-dereskewicz2025flames">
        <w:r>
          <w:rPr>
            <w:rStyle w:val="Hyperlink"/>
          </w:rPr>
          <w:t xml:space="preserve">Dereskewicz, La Rosa, Dos Santos Silva,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. The released weights include nnU-Net’s dataset</w:t>
      </w:r>
      <w:r>
        <w:t xml:space="preserve"> </w:t>
      </w:r>
      <w:r>
        <w:t xml:space="preserve">fingerprint (per-case spacing and cropped brain size of all 668 training cases). Twenty consecutive</w:t>
      </w:r>
      <w:r>
        <w:t xml:space="preserve"> </w:t>
      </w:r>
      <w:r>
        <w:t xml:space="preserve">entries matched the bounding box of exactly one Ljubljana patient each with zero voxels of difference</w:t>
      </w:r>
      <w:r>
        <w:t xml:space="preserve"> </w:t>
      </w:r>
      <w:r>
        <w:t xml:space="preserve">(patients 01–15 and 21–25), leaving patients 16–20 and 26–30 never seen by any 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data/flames_ljubljana_split_87e998d.json</w:t>
      </w:r>
      <w:r>
        <w:t xml:space="preserve">). These 20 scans were excluded from every comparison with</w:t>
      </w:r>
      <w:r>
        <w:t xml:space="preserve"> </w:t>
      </w:r>
      <w:r>
        <w:t xml:space="preserve">FLAMeS and appear only in sensitivity analysis S5. MSLesSeg was not in FLAMeS training; the FLAMeS developers used 51 MSLesSeg cases as an external</w:t>
      </w:r>
      <w:r>
        <w:t xml:space="preserve"> </w:t>
      </w:r>
      <w:r>
        <w:t xml:space="preserve">test set. The three thick cohorts come from centres not listed</w:t>
      </w:r>
      <w:r>
        <w:t xml:space="preserve"> </w:t>
      </w:r>
      <w:r>
        <w:t xml:space="preserve">among the FLAMeS, MindGlide, WMH-SynthSeg, SAMSEG or LST-AI training sources; their overlap with the</w:t>
      </w:r>
      <w:r>
        <w:t xml:space="preserve"> </w:t>
      </w:r>
      <w:r>
        <w:t xml:space="preserve">FLAMeS fingerprint was not checked forensically.</w:t>
      </w:r>
    </w:p>
    <w:bookmarkEnd w:id="14"/>
    <w:bookmarkStart w:id="15" w:name="processing"/>
    <w:p>
      <w:pPr>
        <w:pStyle w:val="Heading2"/>
      </w:pPr>
      <w:r>
        <w:t xml:space="preserve">2.4 Processing</w:t>
      </w:r>
    </w:p>
    <w:p>
      <w:pPr>
        <w:pStyle w:val="FirstParagraph"/>
      </w:pPr>
      <w:r>
        <w:t xml:space="preserve">Every tool received the byte-identical skull-stripped FLAIR used for FLAMeS (SHA-256 checked on each</w:t>
      </w:r>
      <w:r>
        <w:t xml:space="preserve"> </w:t>
      </w:r>
      <w:r>
        <w:t xml:space="preserve">machine against the frozen list; no mismatch occurred), with default settings and only the flags</w:t>
      </w:r>
      <w:r>
        <w:t xml:space="preserve"> </w:t>
      </w:r>
      <w:r>
        <w:t xml:space="preserve">below, on 4 vCPUs, inside containers pinned by digest and run without network access. MindGlide:</w:t>
      </w:r>
      <w:r>
        <w:t xml:space="preserve"> </w:t>
      </w:r>
      <w:r>
        <w:rPr>
          <w:rStyle w:val="VerbatimChar"/>
        </w:rPr>
        <w:t xml:space="preserve">--device cpu</w:t>
      </w:r>
      <w:r>
        <w:t xml:space="preserve">. WMH-SynthSeg:</w:t>
      </w:r>
      <w:r>
        <w:t xml:space="preserve"> </w:t>
      </w:r>
      <w:r>
        <w:rPr>
          <w:rStyle w:val="VerbatimChar"/>
        </w:rPr>
        <w:t xml:space="preserve">mri_WMHsynthseg --device cpu --threads 4 --save_lesion_probabilities</w:t>
      </w:r>
      <w:r>
        <w:t xml:space="preserve">.</w:t>
      </w:r>
      <w:r>
        <w:t xml:space="preserve"> </w:t>
      </w:r>
      <w:r>
        <w:t xml:space="preserve">SAMSEG:</w:t>
      </w:r>
      <w:r>
        <w:t xml:space="preserve"> </w:t>
      </w:r>
      <w:r>
        <w:rPr>
          <w:rStyle w:val="VerbatimChar"/>
        </w:rPr>
        <w:t xml:space="preserve">run_samseg --lesion --lesion-mask-pattern 1 --pallidum-separate --threads 4 --random-seed 12345 --save-posteriors Lesions</w:t>
      </w:r>
      <w:r>
        <w:t xml:space="preserve">. MindGlide and SAMSEG return the input grid (identity transfer).</w:t>
      </w:r>
      <w:r>
        <w:t xml:space="preserve"> </w:t>
      </w:r>
      <w:r>
        <w:t xml:space="preserve">WMH-SynthSeg returns a 1 mm grid; for thick scans each FLAMeS voxel received the mean lesion fraction</w:t>
      </w:r>
      <w:r>
        <w:t xml:space="preserve"> </w:t>
      </w:r>
      <w:r>
        <w:t xml:space="preserve">over its footprint (sampled at ⌈edge length in source voxels⌉ points per axis) and was labelled lesion</w:t>
      </w:r>
      <w:r>
        <w:t xml:space="preserve"> </w:t>
      </w:r>
      <w:r>
        <w:t xml:space="preserve">when the fraction was ≥ 0.5 (179 scans); 1 mm outputs were mapped trilinearly (145 scans). A run that</w:t>
      </w:r>
      <w:r>
        <w:t xml:space="preserve"> </w:t>
      </w:r>
      <w:r>
        <w:t xml:space="preserve">failed or exceeded 45 minutes was to be scored as an empty prediction; no scan ended that way.</w:t>
      </w:r>
    </w:p>
    <w:bookmarkEnd w:id="15"/>
    <w:bookmarkStart w:id="16" w:name="outcomes"/>
    <w:p>
      <w:pPr>
        <w:pStyle w:val="Heading2"/>
      </w:pPr>
      <w:r>
        <w:t xml:space="preserve">2.5 Outcomes</w:t>
      </w:r>
    </w:p>
    <w:p>
      <w:pPr>
        <w:pStyle w:val="FirstParagraph"/>
      </w:pPr>
      <w:r>
        <w:t xml:space="preserve">Definitions were fixed in code before any output existed. A lesion is a 3D connected component with</w:t>
      </w:r>
      <w:r>
        <w:t xml:space="preserve"> </w:t>
      </w:r>
      <w:r>
        <w:t xml:space="preserve">26-connectivity on the FLAMeS grid. Components smaller than 14.137 mm³ (a sphere of 3 mm diameter)</w:t>
      </w:r>
      <w:r>
        <w:t xml:space="preserve"> </w:t>
      </w:r>
      <w:r>
        <w:t xml:space="preserve">were removed from prediction and reference before matching. A predicted component is a true positive</w:t>
      </w:r>
      <w:r>
        <w:t xml:space="preserve"> </w:t>
      </w:r>
      <w:r>
        <w:t xml:space="preserve">if it overlaps any reference component by at least one voxel; a reference lesion is detected if any</w:t>
      </w:r>
      <w:r>
        <w:t xml:space="preserve"> </w:t>
      </w:r>
      <w:r>
        <w:t xml:space="preserve">predicted component overlaps it. Lesion-wise precision = matched predicted / predicted; recall</w:t>
      </w:r>
      <w:r>
        <w:t xml:space="preserve"> </w:t>
      </w:r>
      <w:r>
        <w:t xml:space="preserve">(sensitivity) = detected reference / reference; F1 = 2PR/(P+R), set to 0 when nothing is predicted.</w:t>
      </w:r>
      <w:r>
        <w:t xml:space="preserve"> </w:t>
      </w:r>
      <w:r>
        <w:rPr>
          <w:b/>
          <w:bCs/>
        </w:rPr>
        <w:t xml:space="preserve">Co-primary outcomes:</w:t>
      </w:r>
      <w:r>
        <w:t xml:space="preserve"> </w:t>
      </w:r>
      <w:r>
        <w:t xml:space="preserve">lesion-wise F1 and false lesions per scan (predicted components touching no</w:t>
      </w:r>
      <w:r>
        <w:t xml:space="preserve"> </w:t>
      </w:r>
      <w:r>
        <w:t xml:space="preserve">reference lesion).</w:t>
      </w:r>
      <w:r>
        <w:t xml:space="preserve"> </w:t>
      </w:r>
      <w:r>
        <w:rPr>
          <w:b/>
          <w:bCs/>
        </w:rPr>
        <w:t xml:space="preserve">Secondary outcomes:</w:t>
      </w:r>
      <w:r>
        <w:t xml:space="preserve"> </w:t>
      </w:r>
      <w:r>
        <w:t xml:space="preserve">voxel-wise Dice on the unfiltered masks</w:t>
      </w:r>
      <w:r>
        <w:t xml:space="preserve"> </w:t>
      </w:r>
      <w:r>
        <w:t xml:space="preserve">(</w:t>
      </w:r>
      <w:hyperlink w:anchor="ref-dice1945">
        <w:r>
          <w:rPr>
            <w:rStyle w:val="Hyperlink"/>
          </w:rPr>
          <w:t xml:space="preserve">Dice 1945</w:t>
        </w:r>
      </w:hyperlink>
      <w:r>
        <w:t xml:space="preserve">)</w:t>
      </w:r>
      <w:r>
        <w:t xml:space="preserve">,</w:t>
      </w:r>
      <w:r>
        <w:t xml:space="preserve"> </w:t>
      </w:r>
      <w:r>
        <w:t xml:space="preserve">lesion-wise precision and recall, detection by reference lesion size (14–50, 50–200, 200–1000 and</w:t>
      </w:r>
      <w:r>
        <w:t xml:space="preserve"> </w:t>
      </w:r>
      <w:r>
        <w:t xml:space="preserve">≥ 1000 mm³), predicted and reference lesion volume, failure rate, CPU time and peak memory. The choice</w:t>
      </w:r>
      <w:r>
        <w:t xml:space="preserve"> </w:t>
      </w:r>
      <w:r>
        <w:t xml:space="preserve">of instance-level metrics is consistent with current recommendations for detection-type tasks</w:t>
      </w:r>
      <w:r>
        <w:t xml:space="preserve"> </w:t>
      </w:r>
      <w:r>
        <w:t xml:space="preserve">(</w:t>
      </w:r>
      <w:hyperlink w:anchor="ref-maierhein2024metrics">
        <w:r>
          <w:rPr>
            <w:rStyle w:val="Hyperlink"/>
          </w:rPr>
          <w:t xml:space="preserve">Maier-Hein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.</w:t>
      </w:r>
    </w:p>
    <w:bookmarkEnd w:id="16"/>
    <w:bookmarkStart w:id="17" w:name="statistical-analysis"/>
    <w:p>
      <w:pPr>
        <w:pStyle w:val="Heading2"/>
      </w:pPr>
      <w:r>
        <w:t xml:space="preserve">2.6 Statistical analysis</w:t>
      </w:r>
    </w:p>
    <w:p>
      <w:pPr>
        <w:pStyle w:val="FirstParagraph"/>
      </w:pPr>
      <w:r>
        <w:t xml:space="preserve">For every comparison we computed per-scan differences (tool − FLAMeS) on scans where both outputs</w:t>
      </w:r>
      <w:r>
        <w:t xml:space="preserve"> </w:t>
      </w:r>
      <w:r>
        <w:t xml:space="preserve">were usable and neither was contaminated. The estimate was the mean over cohorts of the per-cohort</w:t>
      </w:r>
      <w:r>
        <w:t xml:space="preserve"> </w:t>
      </w:r>
      <w:r>
        <w:t xml:space="preserve">mean difference (each cohort counts once). Uncertainty came from a patient-cluster bootstrap</w:t>
      </w:r>
      <w:r>
        <w:t xml:space="preserve"> </w:t>
      </w:r>
      <w:r>
        <w:t xml:space="preserve">stratified by cohort</w:t>
      </w:r>
      <w:r>
        <w:t xml:space="preserve"> </w:t>
      </w:r>
      <w:r>
        <w:t xml:space="preserve">(</w:t>
      </w:r>
      <w:hyperlink w:anchor="ref-field2007clustered">
        <w:r>
          <w:rPr>
            <w:rStyle w:val="Hyperlink"/>
          </w:rPr>
          <w:t xml:space="preserve">Field and Welsh 2007</w:t>
        </w:r>
      </w:hyperlink>
      <w:r>
        <w:t xml:space="preserve">;</w:t>
      </w:r>
      <w:r>
        <w:t xml:space="preserve"> </w:t>
      </w:r>
      <w:hyperlink w:anchor="ref-efron1993bootstrap">
        <w:r>
          <w:rPr>
            <w:rStyle w:val="Hyperlink"/>
          </w:rPr>
          <w:t xml:space="preserve">Efron and Tibshirani 1993</w:t>
        </w:r>
      </w:hyperlink>
      <w:r>
        <w:t xml:space="preserve">)</w:t>
      </w:r>
      <w:r>
        <w:t xml:space="preserve">: patients were resampled with</w:t>
      </w:r>
      <w:r>
        <w:t xml:space="preserve"> </w:t>
      </w:r>
      <w:r>
        <w:t xml:space="preserve">replacement within each cohort, 10,000 replicates, seed 20261021, percentile 95% intervals. The</w:t>
      </w:r>
      <w:r>
        <w:t xml:space="preserve"> </w:t>
      </w:r>
      <w:r>
        <w:t xml:space="preserve">two-sided bootstrap p was twice the smaller tail proportion of replicates at or beyond zero. When no</w:t>
      </w:r>
      <w:r>
        <w:t xml:space="preserve"> </w:t>
      </w:r>
      <w:r>
        <w:t xml:space="preserve">replicate fell on the other side of zero, p is below the resolution of the bootstrap (2/10,000); we</w:t>
      </w:r>
      <w:r>
        <w:t xml:space="preserve"> </w:t>
      </w:r>
      <w:r>
        <w:t xml:space="preserve">report such Holm-adjusted values as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0.002 (families of 4 or 6 tests) or &lt; 0.003 (family of</w:t>
      </w:r>
      <w:r>
        <w:t xml:space="preserve"> </w:t>
      </w:r>
      <w:r>
        <w:t xml:space="preserve">11), rather than the</w:t>
      </w:r>
      <w:r>
        <w:t xml:space="preserve"> </w:t>
      </w:r>
      <w:r>
        <w:t xml:space="preserve">“&lt; 0.0001”</w:t>
      </w:r>
      <w:r>
        <w:t xml:space="preserve"> </w:t>
      </w:r>
      <w:r>
        <w:t xml:space="preserve">printed by the analysis tables. Equivalence was declared when the 90%</w:t>
      </w:r>
      <w:r>
        <w:t xml:space="preserve"> </w:t>
      </w:r>
      <w:r>
        <w:t xml:space="preserve">interval lay inside ±0.05 F1 or ±1 false lesion per scan, the interval form of two one-sided tests</w:t>
      </w:r>
      <w:r>
        <w:t xml:space="preserve"> </w:t>
      </w:r>
      <w:r>
        <w:t xml:space="preserve">(</w:t>
      </w:r>
      <w:hyperlink w:anchor="ref-schuirmann1987tost">
        <w:r>
          <w:rPr>
            <w:rStyle w:val="Hyperlink"/>
          </w:rPr>
          <w:t xml:space="preserve">Schuirmann 1987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Primary family (6 tests, Holm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hyperlink w:anchor="ref-holm1979">
        <w:r>
          <w:rPr>
            <w:rStyle w:val="Hyperlink"/>
            <w:b/>
            <w:bCs/>
          </w:rPr>
          <w:t xml:space="preserve">Holm 1979</w:t>
        </w:r>
      </w:hyperlink>
      <w:r>
        <w:rPr>
          <w:b/>
          <w:bCs/>
        </w:rPr>
        <w:t xml:space="preserve">)</w:t>
      </w:r>
      <w:r>
        <w:rPr>
          <w:b/>
          <w:bCs/>
        </w:rPr>
        <w:t xml:space="preserve">, α = 0.05):</w:t>
      </w:r>
      <w:r>
        <w:t xml:space="preserve"> </w:t>
      </w:r>
      <w:r>
        <w:t xml:space="preserve">ΔF1 and Δ false lesions per scan for</w:t>
      </w:r>
      <w:r>
        <w:t xml:space="preserve"> </w:t>
      </w:r>
      <w:r>
        <w:t xml:space="preserve">MindGlide, WMH-SynthSeg and SAMSEG vs FLAMeS on the thick band.</w:t>
      </w:r>
      <w:r>
        <w:t xml:space="preserve"> </w:t>
      </w:r>
      <w:r>
        <w:rPr>
          <w:b/>
          <w:bCs/>
        </w:rPr>
        <w:t xml:space="preserve">Reading rule:</w:t>
      </w:r>
      <w:r>
        <w:t xml:space="preserve"> </w:t>
      </w:r>
      <w:r>
        <w:t xml:space="preserve">a tool</w:t>
      </w:r>
      <w:r>
        <w:t xml:space="preserve"> </w:t>
      </w:r>
      <w:r>
        <w:rPr>
          <w:i/>
          <w:iCs/>
        </w:rPr>
        <w:t xml:space="preserve">outperforms</w:t>
      </w:r>
      <w:r>
        <w:t xml:space="preserve"> </w:t>
      </w:r>
      <w:r>
        <w:t xml:space="preserve">FLAMeS only if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0.05 with ΔF1 &gt; 0 and Δ false lesions not worse than +1 per</w:t>
      </w:r>
      <w:r>
        <w:t xml:space="preserve"> </w:t>
      </w:r>
      <w:r>
        <w:t xml:space="preserve">scan, or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0.05 with fewer false lesions and ΔF1 not below −0.05.</w:t>
      </w:r>
      <w:r>
        <w:t xml:space="preserve"> </w:t>
      </w:r>
      <w:r>
        <w:rPr>
          <w:b/>
          <w:bCs/>
        </w:rPr>
        <w:t xml:space="preserve">Secondary family (11</w:t>
      </w:r>
      <w:r>
        <w:rPr>
          <w:b/>
          <w:bCs/>
        </w:rPr>
        <w:t xml:space="preserve"> </w:t>
      </w:r>
      <w:r>
        <w:rPr>
          <w:b/>
          <w:bCs/>
        </w:rPr>
        <w:t xml:space="preserve">tests, Holm):</w:t>
      </w:r>
      <w:r>
        <w:t xml:space="preserve"> </w:t>
      </w:r>
      <w:r>
        <w:t xml:space="preserve">the same two outcomes on the iso band for the three tools and LST-AI (8 tests), and</w:t>
      </w:r>
      <w:r>
        <w:t xml:space="preserve"> </w:t>
      </w:r>
      <w:r>
        <w:t xml:space="preserve">the degradation contrast (ΔF1 thick − ΔF1 iso) for the three tools (3 tests). The two bands share no</w:t>
      </w:r>
      <w:r>
        <w:t xml:space="preserve"> </w:t>
      </w:r>
      <w:r>
        <w:t xml:space="preserve">patient, so their bootstraps are independent; the contrast compares different cohorts and is</w:t>
      </w:r>
      <w:r>
        <w:t xml:space="preserve"> </w:t>
      </w:r>
      <w:r>
        <w:t xml:space="preserve">therefore confounded with site.</w:t>
      </w:r>
      <w:r>
        <w:t xml:space="preserve"> </w:t>
      </w:r>
      <w:r>
        <w:rPr>
          <w:b/>
          <w:bCs/>
        </w:rPr>
        <w:t xml:space="preserve">Raw-input arm (4 tests, Holm; added before any full-run output,</w:t>
      </w:r>
      <w:r>
        <w:rPr>
          <w:b/>
          <w:bCs/>
        </w:rPr>
        <w:t xml:space="preserve"> </w:t>
      </w:r>
      <w:r>
        <w:rPr>
          <w:b/>
          <w:bCs/>
        </w:rPr>
        <w:t xml:space="preserve">Section 2.10):</w:t>
      </w:r>
      <w:r>
        <w:t xml:space="preserve"> </w:t>
      </w:r>
      <w:r>
        <w:t xml:space="preserve">MindGlide on the FLAIR before skull stripping vs FLAMeS, and vs MindGlide on the</w:t>
      </w:r>
      <w:r>
        <w:t xml:space="preserve"> </w:t>
      </w:r>
      <w:r>
        <w:t xml:space="preserve">stripped FLAIR, on the thick band. Tests that could not be run count as p = 1 in the Holm procedure</w:t>
      </w:r>
      <w:r>
        <w:t xml:space="preserve"> </w:t>
      </w:r>
      <w:r>
        <w:t xml:space="preserve">over the registered family size.</w:t>
      </w:r>
    </w:p>
    <w:p>
      <w:pPr>
        <w:pStyle w:val="BodyText"/>
      </w:pPr>
      <w:r>
        <w:rPr>
          <w:b/>
          <w:bCs/>
        </w:rPr>
        <w:t xml:space="preserve">Sensitivity analyses (primary family, no adjustment):</w:t>
      </w:r>
      <w:r>
        <w:t xml:space="preserve"> </w:t>
      </w:r>
      <w:r>
        <w:t xml:space="preserve">S1 no size filter; S2 3 mm³ filter; S3</w:t>
      </w:r>
      <w:r>
        <w:t xml:space="preserve"> </w:t>
      </w:r>
      <w:r>
        <w:t xml:space="preserve">in-plane 8-connectivity (components do not join across thick slices); S4 complete cases; S5 iso</w:t>
      </w:r>
      <w:r>
        <w:t xml:space="preserve"> </w:t>
      </w:r>
      <w:r>
        <w:t xml:space="preserve">comparisons including the 20 FLAMeS training scans; S6 thick band without Muslim; S7 scan-weighted</w:t>
      </w:r>
      <w:r>
        <w:t xml:space="preserve"> </w:t>
      </w:r>
      <w:r>
        <w:t xml:space="preserve">estimate.</w:t>
      </w:r>
      <w:r>
        <w:t xml:space="preserve"> </w:t>
      </w:r>
      <w:r>
        <w:rPr>
          <w:b/>
          <w:bCs/>
        </w:rPr>
        <w:t xml:space="preserve">Exploratory (labelled as such):</w:t>
      </w:r>
      <w:r>
        <w:t xml:space="preserve"> </w:t>
      </w:r>
      <w:r>
        <w:t xml:space="preserve">E1, the area under the ROC curve</w:t>
      </w:r>
      <w:r>
        <w:t xml:space="preserve"> </w:t>
      </w:r>
      <w:r>
        <w:t xml:space="preserve">(</w:t>
      </w:r>
      <w:hyperlink w:anchor="ref-hanley1982auc">
        <w:r>
          <w:rPr>
            <w:rStyle w:val="Hyperlink"/>
          </w:rPr>
          <w:t xml:space="preserve">Hanley and McNeil 1982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w:r>
        <w:t xml:space="preserve">tool–FLAMeS disagreement (1 − lesion-wise F1 between the two outputs) for identifying scans with</w:t>
      </w:r>
      <w:r>
        <w:t xml:space="preserve"> </w:t>
      </w:r>
      <w:r>
        <w:t xml:space="preserve">FLAMeS lesion-wise F1 &lt; 0.5; E2, keeping only FLAMeS lesions that the tool also marks.</w:t>
      </w:r>
      <w:r>
        <w:t xml:space="preserve"> </w:t>
      </w:r>
      <w:r>
        <w:rPr>
          <w:b/>
          <w:bCs/>
        </w:rPr>
        <w:t xml:space="preserve">Post hoc additions for this manuscript</w:t>
      </w:r>
      <w:r>
        <w:t xml:space="preserve"> </w:t>
      </w:r>
      <w:r>
        <w:t xml:space="preserve">(not in the protocol; script</w:t>
      </w:r>
      <w:r>
        <w:t xml:space="preserve"> </w:t>
      </w:r>
      <w:r>
        <w:rPr>
          <w:rStyle w:val="VerbatimChar"/>
        </w:rPr>
        <w:t xml:space="preserve">compute_extra_numbers.py</w:t>
      </w:r>
      <w:r>
        <w:t xml:space="preserve">):</w:t>
      </w:r>
      <w:r>
        <w:t xml:space="preserve"> </w:t>
      </w:r>
      <w:r>
        <w:t xml:space="preserve">a bootstrap interval and a cohort-stratified version of the E1 AUROC (only poor and adequate scans of</w:t>
      </w:r>
      <w:r>
        <w:t xml:space="preserve"> </w:t>
      </w:r>
      <w:r>
        <w:t xml:space="preserve">the same cohort are compared), lesion-wise precision and recall per band, and FLAMeS performance on the</w:t>
      </w:r>
      <w:r>
        <w:t xml:space="preserve"> </w:t>
      </w:r>
      <w:r>
        <w:t xml:space="preserve">SAMSEG scan set.</w:t>
      </w:r>
    </w:p>
    <w:p>
      <w:pPr>
        <w:pStyle w:val="BodyText"/>
      </w:pPr>
      <w:r>
        <w:rPr>
          <w:b/>
          <w:bCs/>
        </w:rPr>
        <w:t xml:space="preserve">Precision.</w:t>
      </w:r>
      <w:r>
        <w:t xml:space="preserve"> </w:t>
      </w:r>
      <w:r>
        <w:t xml:space="preserve">With a per-scan SD of 0.15 for ΔF1, the protocol anticipated a cohort-weighted 95%</w:t>
      </w:r>
      <w:r>
        <w:t xml:space="preserve"> </w:t>
      </w:r>
      <w:r>
        <w:t xml:space="preserve">half-width of about ±0.04 F1 on the thick band, dominated by the 9 PediMS children. Software: Python</w:t>
      </w:r>
      <w:r>
        <w:t xml:space="preserve"> </w:t>
      </w:r>
      <w:r>
        <w:t xml:space="preserve">3.11.4 and NumPy 1.26.4 for the analysis.</w:t>
      </w:r>
    </w:p>
    <w:bookmarkEnd w:id="17"/>
    <w:bookmarkStart w:id="18" w:name="X3eb2d1f101a9222f045597ea154e23f1d57a6b5"/>
    <w:p>
      <w:pPr>
        <w:pStyle w:val="Heading2"/>
      </w:pPr>
      <w:r>
        <w:t xml:space="preserve">2.7 SAMSEG analysis set: pre-stated budget tiers</w:t>
      </w:r>
    </w:p>
    <w:p>
      <w:pPr>
        <w:pStyle w:val="FirstParagraph"/>
      </w:pPr>
      <w:r>
        <w:t xml:space="preserve">The protocol fixed a run order (cheapest tool first) and budget tiers that depended only on measured</w:t>
      </w:r>
      <w:r>
        <w:t xml:space="preserve"> </w:t>
      </w:r>
      <w:r>
        <w:t xml:space="preserve">runtime, never on accuracy, so that the projected total spend stayed ≤ 15 USD: tier A all 324 scans,</w:t>
      </w:r>
      <w:r>
        <w:t xml:space="preserve"> </w:t>
      </w:r>
      <w:r>
        <w:t xml:space="preserve">tier B the 179 thick scans, tier C a fixed thick subsample of 129 scans (all PediMS, all Muslim and the</w:t>
      </w:r>
      <w:r>
        <w:t xml:space="preserve"> </w:t>
      </w:r>
      <w:r>
        <w:t xml:space="preserve">50 odd-numbered MS3SEG scans). Applied after the other tools had run, with the real spend so far, the</w:t>
      </w:r>
      <w:r>
        <w:t xml:space="preserve"> </w:t>
      </w:r>
      <w:r>
        <w:t xml:space="preserve">rule selected tier C (projected total 13.76 USD). SAMSEG comparisons are therefore paired on 129 thick</w:t>
      </w:r>
      <w:r>
        <w:t xml:space="preserve"> </w:t>
      </w:r>
      <w:r>
        <w:t xml:space="preserve">scans of 110 patients, and the three SAMSEG tests of the secondary family were not run.</w:t>
      </w:r>
    </w:p>
    <w:bookmarkEnd w:id="18"/>
    <w:bookmarkStart w:id="19" w:name="compute-environment-and-cost"/>
    <w:p>
      <w:pPr>
        <w:pStyle w:val="Heading2"/>
      </w:pPr>
      <w:r>
        <w:t xml:space="preserve">2.8 Compute environment and cost</w:t>
      </w:r>
    </w:p>
    <w:p>
      <w:pPr>
        <w:pStyle w:val="FirstParagraph"/>
      </w:pPr>
      <w:r>
        <w:t xml:space="preserve">All tool runs used Google Cloud virtual machines with 4 vCPUs (n2d-standard-4, n2-standard-4,</w:t>
      </w:r>
      <w:r>
        <w:t xml:space="preserve"> </w:t>
      </w:r>
      <w:r>
        <w:t xml:space="preserve">e2-standard-4; n2d-highmem-4 with 32 GB for WMH-SynthSeg) in region us-central1. Costs are list prices</w:t>
      </w:r>
      <w:r>
        <w:t xml:space="preserve"> </w:t>
      </w:r>
      <w:r>
        <w:t xml:space="preserve">recorded per run in a compute ledger (snapshot</w:t>
      </w:r>
      <w:r>
        <w:t xml:space="preserve"> </w:t>
      </w:r>
      <w:r>
        <w:rPr>
          <w:rStyle w:val="VerbatimChar"/>
        </w:rPr>
        <w:t xml:space="preserve">data/compute_ledger_c8b4239.csv</w:t>
      </w:r>
      <w:r>
        <w:t xml:space="preserve">). The study used 14</w:t>
      </w:r>
      <w:r>
        <w:t xml:space="preserve"> </w:t>
      </w:r>
      <w:r>
        <w:t xml:space="preserve">virtual-machine runs, 61.90 machine-hours and 12.55 USD (Table 5). The FLAMeS and LST-AI maps came from</w:t>
      </w:r>
      <w:r>
        <w:t xml:space="preserve"> </w:t>
      </w:r>
      <w:r>
        <w:t xml:space="preserve">earlier runs on the same inputs and are reported separately.</w:t>
      </w:r>
    </w:p>
    <w:bookmarkEnd w:id="19"/>
    <w:bookmarkStart w:id="20" w:name="integrity-checks-and-blinding"/>
    <w:p>
      <w:pPr>
        <w:pStyle w:val="Heading2"/>
      </w:pPr>
      <w:r>
        <w:t xml:space="preserve">2.9 Integrity checks and blinding</w:t>
      </w:r>
    </w:p>
    <w:p>
      <w:pPr>
        <w:pStyle w:val="FirstParagraph"/>
      </w:pPr>
      <w:r>
        <w:t xml:space="preserve">Before the analysis, a script checked every planned output against the run manifests (presence,</w:t>
      </w:r>
      <w:r>
        <w:t xml:space="preserve"> </w:t>
      </w:r>
      <w:r>
        <w:t xml:space="preserve">SHA-256, failures;</w:t>
      </w:r>
      <w:r>
        <w:t xml:space="preserve"> </w:t>
      </w:r>
      <w:r>
        <w:rPr>
          <w:rStyle w:val="VerbatimChar"/>
        </w:rPr>
        <w:t xml:space="preserve">results/verify_runs.json</w:t>
      </w:r>
      <w:r>
        <w:t xml:space="preserve">) and a structural check confirmed that every mask lay on</w:t>
      </w:r>
      <w:r>
        <w:t xml:space="preserve"> </w:t>
      </w:r>
      <w:r>
        <w:t xml:space="preserve">the exact FLAMeS grid and was binary. For each tool, the only accuracy numbers looked at before its full run were pilot plausibility checks</w:t>
      </w:r>
      <w:r>
        <w:t xml:space="preserve"> </w:t>
      </w:r>
      <w:r>
        <w:t xml:space="preserve">on three scans (a Dice &lt; 0.1 would have signalled a label or orientation error); the interim analysis</w:t>
      </w:r>
      <w:r>
        <w:t xml:space="preserve"> </w:t>
      </w:r>
      <w:r>
        <w:t xml:space="preserve">of Section 2.10 is the one exception.</w:t>
      </w:r>
    </w:p>
    <w:bookmarkEnd w:id="20"/>
    <w:bookmarkStart w:id="21" w:name="deviations-from-the-protocol"/>
    <w:p>
      <w:pPr>
        <w:pStyle w:val="Heading2"/>
      </w:pPr>
      <w:r>
        <w:t xml:space="preserve">2.10 Deviations from the protocol</w:t>
      </w:r>
    </w:p>
    <w:p>
      <w:pPr>
        <w:pStyle w:val="FirstParagraph"/>
      </w:pPr>
      <w:r>
        <w:t xml:space="preserve">All deviations are listed in Table 6. In short: a secondary arm with MindGlide on the raw FLAIR was</w:t>
      </w:r>
      <w:r>
        <w:t xml:space="preserve"> </w:t>
      </w:r>
      <w:r>
        <w:t xml:space="preserve">added before any full-run output; WMH-SynthSeg ran without the pre-stated</w:t>
      </w:r>
      <w:r>
        <w:t xml:space="preserve"> </w:t>
      </w:r>
      <w:r>
        <w:rPr>
          <w:rStyle w:val="VerbatimChar"/>
        </w:rPr>
        <w:t xml:space="preserve">--crop</w:t>
      </w:r>
      <w:r>
        <w:t xml:space="preserve"> </w:t>
      </w:r>
      <w:r>
        <w:t xml:space="preserve">memory fallback</w:t>
      </w:r>
      <w:r>
        <w:t xml:space="preserve"> </w:t>
      </w:r>
      <w:r>
        <w:t xml:space="preserve">(one out-of-memory scan was re-run with it); the budget rule gave SAMSEG tier C; Holm was applied over</w:t>
      </w:r>
      <w:r>
        <w:t xml:space="preserve"> </w:t>
      </w:r>
      <w:r>
        <w:t xml:space="preserve">the registered family size with tests not run counted as p = 1; and an interim analysis of MindGlide</w:t>
      </w:r>
      <w:r>
        <w:t xml:space="preserve"> </w:t>
      </w:r>
      <w:r>
        <w:t xml:space="preserve">and LST-AI was run on 2026-10-22, although the protocol stated that the analysis would run once on the</w:t>
      </w:r>
      <w:r>
        <w:t xml:space="preserve"> </w:t>
      </w:r>
      <w:r>
        <w:t xml:space="preserve">full outputs. That interim look was not logged as a deviation at the time; we identified it while</w:t>
      </w:r>
      <w:r>
        <w:t xml:space="preserve"> </w:t>
      </w:r>
      <w:r>
        <w:t xml:space="preserve">writing this report. No outcome definition, band, threshold or test changed.</w:t>
      </w:r>
    </w:p>
    <w:bookmarkEnd w:id="21"/>
    <w:bookmarkEnd w:id="22"/>
    <w:bookmarkStart w:id="43" w:name="results"/>
    <w:p>
      <w:pPr>
        <w:pStyle w:val="Heading1"/>
      </w:pPr>
      <w:r>
        <w:t xml:space="preserve">3. Results</w:t>
      </w:r>
    </w:p>
    <w:bookmarkStart w:id="23" w:name="completeness"/>
    <w:p>
      <w:pPr>
        <w:pStyle w:val="Heading2"/>
      </w:pPr>
      <w:r>
        <w:t xml:space="preserve">3.1 Completeness</w:t>
      </w:r>
    </w:p>
    <w:p>
      <w:pPr>
        <w:pStyle w:val="FirstParagraph"/>
      </w:pPr>
      <w:r>
        <w:t xml:space="preserve">All planned outputs were present — WMH-SynthSeg 324/324, MindGlide 324/324, MindGlide on raw input</w:t>
      </w:r>
      <w:r>
        <w:t xml:space="preserve"> </w:t>
      </w:r>
      <w:r>
        <w:t xml:space="preserve">179/179 and SAMSEG 129/129 — and all but one matched the hash recorded on the machine (Table A2). One WMH-SynthSeg run</w:t>
      </w:r>
      <w:r>
        <w:t xml:space="preserve"> </w:t>
      </w:r>
      <w:r>
        <w:t xml:space="preserve">(muslim_16) stopped for lack of memory and was re-run with</w:t>
      </w:r>
      <w:r>
        <w:t xml:space="preserve"> </w:t>
      </w:r>
      <w:r>
        <w:rPr>
          <w:rStyle w:val="VerbatimChar"/>
        </w:rPr>
        <w:t xml:space="preserve">--crop</w:t>
      </w:r>
      <w:r>
        <w:t xml:space="preserve">, as pre-stated. The three MindGlide pilot scans failed in the first pilot runs because the container could not write</w:t>
      </w:r>
      <w:r>
        <w:t xml:space="preserve"> </w:t>
      </w:r>
      <w:r>
        <w:t xml:space="preserve">to its output folder, and were re-run after the fix. One SAMSEG</w:t>
      </w:r>
      <w:r>
        <w:t xml:space="preserve"> </w:t>
      </w:r>
      <w:r>
        <w:t xml:space="preserve">output (ms3seg_001, pilot) has no manifest record because the pilot’s manifest write crashed; the file</w:t>
      </w:r>
      <w:r>
        <w:t xml:space="preserve"> </w:t>
      </w:r>
      <w:r>
        <w:t xml:space="preserve">was verified by its lesion-voxel count (1,129) and kept. No scan was scored as a failure, no input</w:t>
      </w:r>
      <w:r>
        <w:t xml:space="preserve"> </w:t>
      </w:r>
      <w:r>
        <w:t xml:space="preserve">hash mismatched, and every mask passed the structural check. SAMSEG predicted no lesion after the size</w:t>
      </w:r>
      <w:r>
        <w:t xml:space="preserve"> </w:t>
      </w:r>
      <w:r>
        <w:t xml:space="preserve">filter in 3 of 129 scans; every other tool predicted at least one lesion in every scan.</w:t>
      </w:r>
    </w:p>
    <w:bookmarkEnd w:id="23"/>
    <w:bookmarkStart w:id="27" w:name="primary-comparisons-thick-slice-flair"/>
    <w:p>
      <w:pPr>
        <w:pStyle w:val="Heading2"/>
      </w:pPr>
      <w:r>
        <w:t xml:space="preserve">3.2 Primary comparisons: thick-slice FLAIR</w:t>
      </w:r>
    </w:p>
    <w:p>
      <w:pPr>
        <w:pStyle w:val="FirstParagraph"/>
      </w:pPr>
      <w:r>
        <w:t xml:space="preserve">FLAMeS had a cohort-weighted lesion-wise F1 of 0.724 (95% CI 0.702–0.745) and 6.9 false lesions per</w:t>
      </w:r>
      <w:r>
        <w:t xml:space="preserve"> </w:t>
      </w:r>
      <w:r>
        <w:t xml:space="preserve">scan on the 179 thick scans (Table 4). All three CPU tools had a lower lesion-wise F1 than FLAMeS</w:t>
      </w:r>
      <w:r>
        <w:t xml:space="preserve"> </w:t>
      </w:r>
      <w:r>
        <w:t xml:space="preserve">(Table 3, Figure 1): MindGlide by 0.170 (95% CI 0.136–0.206), SAMSEG by 0.237 (0.173–0.304) and</w:t>
      </w:r>
      <w:r>
        <w:t xml:space="preserve"> </w:t>
      </w:r>
      <w:r>
        <w:t xml:space="preserve">WMH-SynthSeg by 0.384 (0.344–0.424);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0.002 for each. SAMSEG had 5.15 fewer false lesions per</w:t>
      </w:r>
      <w:r>
        <w:t xml:space="preserve"> </w:t>
      </w:r>
      <w:r>
        <w:t xml:space="preserve">scan (95% CI 3.91–6.30) and WMH-SynthSeg 3.88 fewer (2.27–5.21), both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0.002. For MindGlide</w:t>
      </w:r>
      <w:r>
        <w:t xml:space="preserve"> </w:t>
      </w:r>
      <w:r>
        <w:t xml:space="preserve">the difference in false lesions was +0.57 per scan (−0.89 to +2.21;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= 0.45): no difference was</w:t>
      </w:r>
      <w:r>
        <w:t xml:space="preserve"> </w:t>
      </w:r>
      <w:r>
        <w:t xml:space="preserve">shown and equivalence within ±1 was not shown either. Under the pre-stated reading rule no tool</w:t>
      </w:r>
      <w:r>
        <w:t xml:space="preserve"> </w:t>
      </w:r>
      <w:r>
        <w:t xml:space="preserve">outperformed FLAMeS, because every ΔF1 was far below −0.05, and no tool was equivalent to FLAMeS. On</w:t>
      </w:r>
      <w:r>
        <w:t xml:space="preserve"> </w:t>
      </w:r>
      <w:r>
        <w:t xml:space="preserve">the 129 SAMSEG scans, FLAMeS had F1 0.729 and 6.97 false lesions per scan, against 0.492 and 1.82 for</w:t>
      </w:r>
      <w:r>
        <w:t xml:space="preserve"> </w:t>
      </w:r>
      <w:r>
        <w:t xml:space="preserve">SAMSEG.</w:t>
      </w:r>
    </w:p>
    <w:p>
      <w:pPr>
        <w:pStyle w:val="CaptionedFigure"/>
      </w:pPr>
      <w:r>
        <w:drawing>
          <wp:inline>
            <wp:extent cx="5334000" cy="2241509"/>
            <wp:effectExtent b="0" l="0" r="0" t="0"/>
            <wp:docPr descr="Figure 1. Paired differences from FLAMeS (tool − FLAMeS) in lesion-wise F1 (A) and false lesions per scan (B). Shaded bands are the pre-registered equivalence margins. Thin lines are 95% and thick lines 90% patient-cluster bootstrap intervals. Labels give scans / patients; p-values are Holm-adjusted over the registered family size." title="" id="25" name="Picture"/>
            <a:graphic>
              <a:graphicData uri="http://schemas.openxmlformats.org/drawingml/2006/picture">
                <pic:pic>
                  <pic:nvPicPr>
                    <pic:cNvPr descr="figures/fig1_forest_vs_flame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1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Paired differences from FLAMeS (tool − FLAMeS) in lesion-wise F1 (A) and false lesions per scan (B). Shaded bands are the pre-registered equivalence margins. Thin lines are 95% and thick lines 90% patient-cluster bootstrap intervals. Labels give scans / patients; p-values are Holm-adjusted over the registered family size.</w:t>
      </w:r>
    </w:p>
    <w:p>
      <w:pPr>
        <w:pStyle w:val="BodyText"/>
      </w:pPr>
      <w:r>
        <w:rPr>
          <w:b/>
          <w:bCs/>
        </w:rPr>
        <w:t xml:space="preserve">Table 3.</w:t>
      </w:r>
      <w:r>
        <w:t xml:space="preserve"> </w:t>
      </w:r>
      <w:r>
        <w:t xml:space="preserve">Pre-registered comparisons (difference = tool − reference; patient-cluster bootstrap</w:t>
      </w:r>
      <w:r>
        <w:t xml:space="preserve"> </w:t>
      </w:r>
      <w:r>
        <w:t xml:space="preserve">stratified by cohort;</w:t>
      </w:r>
      <w:r>
        <w:t xml:space="preserve"> </w:t>
      </w:r>
      <w:r>
        <w:rPr>
          <w:rStyle w:val="VerbatimChar"/>
        </w:rPr>
        <w:t xml:space="preserve">results/comparisons.json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Scans / patients</w:t>
            </w:r>
          </w:p>
        </w:tc>
        <w:tc>
          <w:tcPr/>
          <w:p>
            <w:pPr>
              <w:pStyle w:val="Compact"/>
            </w:pPr>
            <w:r>
              <w:t xml:space="preserve">ΔF1 (95% CI)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  <w:r>
              <w:rPr>
                <w:vertAlign w:val="subscript"/>
              </w:rPr>
              <w:t xml:space="preserve">Holm</w:t>
            </w:r>
          </w:p>
        </w:tc>
        <w:tc>
          <w:tcPr/>
          <w:p>
            <w:pPr>
              <w:pStyle w:val="Compact"/>
            </w:pPr>
            <w:r>
              <w:t xml:space="preserve">Δ false lesions / scan (95% CI)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  <w:r>
              <w:rPr>
                <w:vertAlign w:val="subscript"/>
              </w:rPr>
              <w:t xml:space="preserve">Holm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(6)</w:t>
            </w:r>
          </w:p>
        </w:tc>
        <w:tc>
          <w:tcPr/>
          <w:p>
            <w:pPr>
              <w:pStyle w:val="Compact"/>
            </w:pPr>
            <w:r>
              <w:t xml:space="preserve">MindGlide − FLAMeS</w:t>
            </w:r>
          </w:p>
        </w:tc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179 / 160</w:t>
            </w:r>
          </w:p>
        </w:tc>
        <w:tc>
          <w:tcPr/>
          <w:p>
            <w:pPr>
              <w:pStyle w:val="Compact"/>
            </w:pPr>
            <w:r>
              <w:t xml:space="preserve">−0.170 (−0.206 to −0.136)</w:t>
            </w:r>
          </w:p>
        </w:tc>
        <w:tc>
          <w:tcPr/>
          <w:p>
            <w:pPr>
              <w:pStyle w:val="Compact"/>
            </w:pPr>
            <w:r>
              <w:t xml:space="preserve">&lt; 0.002</w:t>
            </w:r>
          </w:p>
        </w:tc>
        <w:tc>
          <w:tcPr/>
          <w:p>
            <w:pPr>
              <w:pStyle w:val="Compact"/>
            </w:pPr>
            <w:r>
              <w:t xml:space="preserve">+0.57 (−0.89 to +2.21)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(6)</w:t>
            </w:r>
          </w:p>
        </w:tc>
        <w:tc>
          <w:tcPr/>
          <w:p>
            <w:pPr>
              <w:pStyle w:val="Compact"/>
            </w:pPr>
            <w:r>
              <w:t xml:space="preserve">WMH-SynthSeg − FLAMeS</w:t>
            </w:r>
          </w:p>
        </w:tc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179 / 160</w:t>
            </w:r>
          </w:p>
        </w:tc>
        <w:tc>
          <w:tcPr/>
          <w:p>
            <w:pPr>
              <w:pStyle w:val="Compact"/>
            </w:pPr>
            <w:r>
              <w:t xml:space="preserve">−0.384 (−0.424 to −0.344)</w:t>
            </w:r>
          </w:p>
        </w:tc>
        <w:tc>
          <w:tcPr/>
          <w:p>
            <w:pPr>
              <w:pStyle w:val="Compact"/>
            </w:pPr>
            <w:r>
              <w:t xml:space="preserve">&lt; 0.002</w:t>
            </w:r>
          </w:p>
        </w:tc>
        <w:tc>
          <w:tcPr/>
          <w:p>
            <w:pPr>
              <w:pStyle w:val="Compact"/>
            </w:pPr>
            <w:r>
              <w:t xml:space="preserve">−3.88 (−5.21 to −2.27)</w:t>
            </w:r>
          </w:p>
        </w:tc>
        <w:tc>
          <w:tcPr/>
          <w:p>
            <w:pPr>
              <w:pStyle w:val="Compact"/>
            </w:pPr>
            <w:r>
              <w:t xml:space="preserve">&lt; 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(6)</w:t>
            </w:r>
          </w:p>
        </w:tc>
        <w:tc>
          <w:tcPr/>
          <w:p>
            <w:pPr>
              <w:pStyle w:val="Compact"/>
            </w:pPr>
            <w:r>
              <w:t xml:space="preserve">SAMSEG − FLAMeS</w:t>
            </w:r>
          </w:p>
        </w:tc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129 / 110</w:t>
            </w:r>
          </w:p>
        </w:tc>
        <w:tc>
          <w:tcPr/>
          <w:p>
            <w:pPr>
              <w:pStyle w:val="Compact"/>
            </w:pPr>
            <w:r>
              <w:t xml:space="preserve">−0.237 (−0.304 to −0.173)</w:t>
            </w:r>
          </w:p>
        </w:tc>
        <w:tc>
          <w:tcPr/>
          <w:p>
            <w:pPr>
              <w:pStyle w:val="Compact"/>
            </w:pPr>
            <w:r>
              <w:t xml:space="preserve">&lt; 0.002</w:t>
            </w:r>
          </w:p>
        </w:tc>
        <w:tc>
          <w:tcPr/>
          <w:p>
            <w:pPr>
              <w:pStyle w:val="Compact"/>
            </w:pPr>
            <w:r>
              <w:t xml:space="preserve">−5.15 (−6.30 to −3.91)</w:t>
            </w:r>
          </w:p>
        </w:tc>
        <w:tc>
          <w:tcPr/>
          <w:p>
            <w:pPr>
              <w:pStyle w:val="Compact"/>
            </w:pPr>
            <w:r>
              <w:t xml:space="preserve">&lt; 0.002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(11)</w:t>
            </w:r>
          </w:p>
        </w:tc>
        <w:tc>
          <w:tcPr/>
          <w:p>
            <w:pPr>
              <w:pStyle w:val="Compact"/>
            </w:pPr>
            <w:r>
              <w:t xml:space="preserve">MindGlide − FLAMeS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125 / 85</w:t>
            </w:r>
          </w:p>
        </w:tc>
        <w:tc>
          <w:tcPr/>
          <w:p>
            <w:pPr>
              <w:pStyle w:val="Compact"/>
            </w:pPr>
            <w:r>
              <w:t xml:space="preserve">−0.272 (−0.319 to −0.229)</w:t>
            </w:r>
          </w:p>
        </w:tc>
        <w:tc>
          <w:tcPr/>
          <w:p>
            <w:pPr>
              <w:pStyle w:val="Compact"/>
            </w:pPr>
            <w:r>
              <w:t xml:space="preserve">&lt; 0.003</w:t>
            </w:r>
          </w:p>
        </w:tc>
        <w:tc>
          <w:tcPr/>
          <w:p>
            <w:pPr>
              <w:pStyle w:val="Compact"/>
            </w:pPr>
            <w:r>
              <w:t xml:space="preserve">+3.07 (+1.78 to +4.32)</w:t>
            </w:r>
          </w:p>
        </w:tc>
        <w:tc>
          <w:tcPr/>
          <w:p>
            <w:pPr>
              <w:pStyle w:val="Compact"/>
            </w:pPr>
            <w:r>
              <w:t xml:space="preserve">&lt; 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(11)</w:t>
            </w:r>
          </w:p>
        </w:tc>
        <w:tc>
          <w:tcPr/>
          <w:p>
            <w:pPr>
              <w:pStyle w:val="Compact"/>
            </w:pPr>
            <w:r>
              <w:t xml:space="preserve">WMH-SynthSeg − FLAMeS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125 / 85</w:t>
            </w:r>
          </w:p>
        </w:tc>
        <w:tc>
          <w:tcPr/>
          <w:p>
            <w:pPr>
              <w:pStyle w:val="Compact"/>
            </w:pPr>
            <w:r>
              <w:t xml:space="preserve">−0.363 (−0.429 to −0.297)</w:t>
            </w:r>
          </w:p>
        </w:tc>
        <w:tc>
          <w:tcPr/>
          <w:p>
            <w:pPr>
              <w:pStyle w:val="Compact"/>
            </w:pPr>
            <w:r>
              <w:t xml:space="preserve">&lt; 0.003</w:t>
            </w:r>
          </w:p>
        </w:tc>
        <w:tc>
          <w:tcPr/>
          <w:p>
            <w:pPr>
              <w:pStyle w:val="Compact"/>
            </w:pPr>
            <w:r>
              <w:t xml:space="preserve">−1.32 (−2.58 to −0.23)</w:t>
            </w:r>
          </w:p>
        </w:tc>
        <w:tc>
          <w:tcPr/>
          <w:p>
            <w:pPr>
              <w:pStyle w:val="Compact"/>
            </w:pPr>
            <w:r>
              <w:t xml:space="preserve">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(11)</w:t>
            </w:r>
          </w:p>
        </w:tc>
        <w:tc>
          <w:tcPr/>
          <w:p>
            <w:pPr>
              <w:pStyle w:val="Compact"/>
            </w:pPr>
            <w:r>
              <w:t xml:space="preserve">LST-AI − FLAMeS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124 / 85</w:t>
            </w:r>
          </w:p>
        </w:tc>
        <w:tc>
          <w:tcPr/>
          <w:p>
            <w:pPr>
              <w:pStyle w:val="Compact"/>
            </w:pPr>
            <w:r>
              <w:t xml:space="preserve">−0.180 (−0.212 to −0.150)</w:t>
            </w:r>
          </w:p>
        </w:tc>
        <w:tc>
          <w:tcPr/>
          <w:p>
            <w:pPr>
              <w:pStyle w:val="Compact"/>
            </w:pPr>
            <w:r>
              <w:t xml:space="preserve">&lt; 0.003</w:t>
            </w:r>
          </w:p>
        </w:tc>
        <w:tc>
          <w:tcPr/>
          <w:p>
            <w:pPr>
              <w:pStyle w:val="Compact"/>
            </w:pPr>
            <w:r>
              <w:t xml:space="preserve">+3.79 (+2.53 to +4.95)</w:t>
            </w:r>
          </w:p>
        </w:tc>
        <w:tc>
          <w:tcPr/>
          <w:p>
            <w:pPr>
              <w:pStyle w:val="Compact"/>
            </w:pPr>
            <w:r>
              <w:t xml:space="preserve">&lt; 0.003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(11)</w:t>
            </w:r>
          </w:p>
        </w:tc>
        <w:tc>
          <w:tcPr/>
          <w:p>
            <w:pPr>
              <w:pStyle w:val="Compact"/>
            </w:pPr>
            <w:r>
              <w:t xml:space="preserve">SAMSEG − FLAMeS</w:t>
            </w:r>
          </w:p>
        </w:tc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run (tier C)</w:t>
            </w:r>
          </w:p>
        </w:tc>
        <w:tc>
          <w:tcPr/>
          <w:p>
            <w:pPr>
              <w:pStyle w:val="Compact"/>
            </w:pPr>
            <w:r>
              <w:t xml:space="preserve">(p = 1)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(p =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(11)</w:t>
            </w:r>
          </w:p>
        </w:tc>
        <w:tc>
          <w:tcPr/>
          <w:p>
            <w:pPr>
              <w:pStyle w:val="Compact"/>
            </w:pPr>
            <w:r>
              <w:t xml:space="preserve">Degradation, MindGlide</w:t>
            </w:r>
          </w:p>
        </w:tc>
        <w:tc>
          <w:tcPr/>
          <w:p>
            <w:pPr>
              <w:pStyle w:val="Compact"/>
            </w:pPr>
            <w:r>
              <w:t xml:space="preserve">thick − iso</w:t>
            </w:r>
          </w:p>
        </w:tc>
        <w:tc>
          <w:tcPr/>
          <w:p>
            <w:pPr>
              <w:pStyle w:val="Compact"/>
            </w:pPr>
            <w:r>
              <w:t xml:space="preserve">304 / 245</w:t>
            </w:r>
          </w:p>
        </w:tc>
        <w:tc>
          <w:tcPr/>
          <w:p>
            <w:pPr>
              <w:pStyle w:val="Compact"/>
            </w:pPr>
            <w:r>
              <w:t xml:space="preserve">+0.102 (+0.047 to +0.160)</w:t>
            </w:r>
          </w:p>
        </w:tc>
        <w:tc>
          <w:tcPr/>
          <w:p>
            <w:pPr>
              <w:pStyle w:val="Compact"/>
            </w:pPr>
            <w:r>
              <w:t xml:space="preserve">&lt; 0.003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(11)</w:t>
            </w:r>
          </w:p>
        </w:tc>
        <w:tc>
          <w:tcPr/>
          <w:p>
            <w:pPr>
              <w:pStyle w:val="Compact"/>
            </w:pPr>
            <w:r>
              <w:t xml:space="preserve">Degradation, WMH-SynthSeg</w:t>
            </w:r>
          </w:p>
        </w:tc>
        <w:tc>
          <w:tcPr/>
          <w:p>
            <w:pPr>
              <w:pStyle w:val="Compact"/>
            </w:pPr>
            <w:r>
              <w:t xml:space="preserve">thick − iso</w:t>
            </w:r>
          </w:p>
        </w:tc>
        <w:tc>
          <w:tcPr/>
          <w:p>
            <w:pPr>
              <w:pStyle w:val="Compact"/>
            </w:pPr>
            <w:r>
              <w:t xml:space="preserve">304 / 245</w:t>
            </w:r>
          </w:p>
        </w:tc>
        <w:tc>
          <w:tcPr/>
          <w:p>
            <w:pPr>
              <w:pStyle w:val="Compact"/>
            </w:pPr>
            <w:r>
              <w:t xml:space="preserve">−0.021 (−0.098 to +0.056)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(11)</w:t>
            </w:r>
          </w:p>
        </w:tc>
        <w:tc>
          <w:tcPr/>
          <w:p>
            <w:pPr>
              <w:pStyle w:val="Compact"/>
            </w:pPr>
            <w:r>
              <w:t xml:space="preserve">Degradation, SAMSEG</w:t>
            </w:r>
          </w:p>
        </w:tc>
        <w:tc>
          <w:tcPr/>
          <w:p>
            <w:pPr>
              <w:pStyle w:val="Compact"/>
            </w:pPr>
            <w:r>
              <w:t xml:space="preserve">thick − iso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run</w:t>
            </w:r>
          </w:p>
        </w:tc>
        <w:tc>
          <w:tcPr/>
          <w:p>
            <w:pPr>
              <w:pStyle w:val="Compact"/>
            </w:pPr>
            <w:r>
              <w:t xml:space="preserve">(p = 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arm (4)</w:t>
            </w:r>
          </w:p>
        </w:tc>
        <w:tc>
          <w:tcPr/>
          <w:p>
            <w:pPr>
              <w:pStyle w:val="Compact"/>
            </w:pPr>
            <w:r>
              <w:t xml:space="preserve">MindGlide raw − FLAMeS</w:t>
            </w:r>
          </w:p>
        </w:tc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179 / 160</w:t>
            </w:r>
          </w:p>
        </w:tc>
        <w:tc>
          <w:tcPr/>
          <w:p>
            <w:pPr>
              <w:pStyle w:val="Compact"/>
            </w:pPr>
            <w:r>
              <w:t xml:space="preserve">−0.186 (−0.222 to −0.150)</w:t>
            </w:r>
          </w:p>
        </w:tc>
        <w:tc>
          <w:tcPr/>
          <w:p>
            <w:pPr>
              <w:pStyle w:val="Compact"/>
            </w:pPr>
            <w:r>
              <w:t xml:space="preserve">&lt; 0.002</w:t>
            </w:r>
          </w:p>
        </w:tc>
        <w:tc>
          <w:tcPr/>
          <w:p>
            <w:pPr>
              <w:pStyle w:val="Compact"/>
            </w:pPr>
            <w:r>
              <w:t xml:space="preserve">+0.38 (−0.94 to +1.88)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arm (4)</w:t>
            </w:r>
          </w:p>
        </w:tc>
        <w:tc>
          <w:tcPr/>
          <w:p>
            <w:pPr>
              <w:pStyle w:val="Compact"/>
            </w:pPr>
            <w:r>
              <w:t xml:space="preserve">MindGlide raw − MindGlide</w:t>
            </w:r>
          </w:p>
        </w:tc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179 / 160</w:t>
            </w:r>
          </w:p>
        </w:tc>
        <w:tc>
          <w:tcPr/>
          <w:p>
            <w:pPr>
              <w:pStyle w:val="Compact"/>
            </w:pPr>
            <w:r>
              <w:t xml:space="preserve">−0.016 (−0.028 to −0.004)</w:t>
            </w:r>
          </w:p>
        </w:tc>
        <w:tc>
          <w:tcPr/>
          <w:p>
            <w:pPr>
              <w:pStyle w:val="Compact"/>
            </w:pPr>
            <w:r>
              <w:t xml:space="preserve">0.037</w:t>
            </w:r>
          </w:p>
        </w:tc>
        <w:tc>
          <w:tcPr/>
          <w:p>
            <w:pPr>
              <w:pStyle w:val="Compact"/>
            </w:pPr>
            <w:r>
              <w:t xml:space="preserve">−0.19 (−0.75 to +0.32)</w:t>
            </w:r>
          </w:p>
        </w:tc>
        <w:tc>
          <w:tcPr/>
          <w:p>
            <w:pPr>
              <w:pStyle w:val="Compact"/>
            </w:pPr>
            <w:r>
              <w:t xml:space="preserve">0.986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4.</w:t>
      </w:r>
      <w:r>
        <w:t xml:space="preserve"> </w:t>
      </w:r>
      <w:r>
        <w:t xml:space="preserve">Absolute performance per band (cohort-weighted mean, 95% CI). F1 and false lesions from</w:t>
      </w:r>
      <w:r>
        <w:t xml:space="preserve"> </w:t>
      </w:r>
      <w:r>
        <w:rPr>
          <w:rStyle w:val="VerbatimChar"/>
        </w:rPr>
        <w:t xml:space="preserve">results/tables.md</w:t>
      </w:r>
      <w:r>
        <w:t xml:space="preserve"> </w:t>
      </w:r>
      <w:r>
        <w:t xml:space="preserve">(Table 2); precision and recall descriptive (</w:t>
      </w:r>
      <w:r>
        <w:rPr>
          <w:rStyle w:val="VerbatimChar"/>
        </w:rPr>
        <w:t xml:space="preserve">data/extra_numbers.json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Scans</w:t>
            </w:r>
          </w:p>
        </w:tc>
        <w:tc>
          <w:tcPr/>
          <w:p>
            <w:pPr>
              <w:pStyle w:val="Compact"/>
            </w:pPr>
            <w:r>
              <w:t xml:space="preserve">Lesion-wise F1</w:t>
            </w:r>
          </w:p>
        </w:tc>
        <w:tc>
          <w:tcPr/>
          <w:p>
            <w:pPr>
              <w:pStyle w:val="Compact"/>
            </w:pPr>
            <w:r>
              <w:t xml:space="preserve">False lesions / scan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FLAMeS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0.765 (0.727–0.798)</w:t>
            </w:r>
          </w:p>
        </w:tc>
        <w:tc>
          <w:tcPr/>
          <w:p>
            <w:pPr>
              <w:pStyle w:val="Compact"/>
            </w:pPr>
            <w:r>
              <w:t xml:space="preserve">3.8 (2.8–5.0)</w:t>
            </w:r>
          </w:p>
        </w:tc>
        <w:tc>
          <w:tcPr/>
          <w:p>
            <w:pPr>
              <w:pStyle w:val="Compact"/>
            </w:pPr>
            <w:r>
              <w:t xml:space="preserve">0.819</w:t>
            </w:r>
          </w:p>
        </w:tc>
        <w:tc>
          <w:tcPr/>
          <w:p>
            <w:pPr>
              <w:pStyle w:val="Compact"/>
            </w:pPr>
            <w:r>
              <w:t xml:space="preserve">0.740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LST-AI</w:t>
            </w:r>
          </w:p>
        </w:tc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0.620 (0.588–0.650)</w:t>
            </w:r>
          </w:p>
        </w:tc>
        <w:tc>
          <w:tcPr/>
          <w:p>
            <w:pPr>
              <w:pStyle w:val="Compact"/>
            </w:pPr>
            <w:r>
              <w:t xml:space="preserve">8.4 (7.2–9.8)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MindGlide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0.518 (0.490–0.543)</w:t>
            </w:r>
          </w:p>
        </w:tc>
        <w:tc>
          <w:tcPr/>
          <w:p>
            <w:pPr>
              <w:pStyle w:val="Compact"/>
            </w:pPr>
            <w:r>
              <w:t xml:space="preserve">6.3 (5.6–7.0)</w:t>
            </w:r>
          </w:p>
        </w:tc>
        <w:tc>
          <w:tcPr/>
          <w:p>
            <w:pPr>
              <w:pStyle w:val="Compact"/>
            </w:pPr>
            <w:r>
              <w:t xml:space="preserve">0.569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</w:t>
            </w:r>
          </w:p>
        </w:tc>
        <w:tc>
          <w:tcPr/>
          <w:p>
            <w:pPr>
              <w:pStyle w:val="Compact"/>
            </w:pPr>
            <w:r>
              <w:t xml:space="preserve">WMH-SynthSeg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0.387 (0.354–0.419)</w:t>
            </w:r>
          </w:p>
        </w:tc>
        <w:tc>
          <w:tcPr/>
          <w:p>
            <w:pPr>
              <w:pStyle w:val="Compact"/>
            </w:pPr>
            <w:r>
              <w:t xml:space="preserve">2.3 (1.9–2.6)</w:t>
            </w:r>
          </w:p>
        </w:tc>
        <w:tc>
          <w:tcPr/>
          <w:p>
            <w:pPr>
              <w:pStyle w:val="Compact"/>
            </w:pPr>
            <w:r>
              <w:t xml:space="preserve">0.752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FLAMeS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0.724 (0.702–0.745)</w:t>
            </w:r>
          </w:p>
        </w:tc>
        <w:tc>
          <w:tcPr/>
          <w:p>
            <w:pPr>
              <w:pStyle w:val="Compact"/>
            </w:pPr>
            <w:r>
              <w:t xml:space="preserve">6.9 (6.0–7.8)</w:t>
            </w:r>
          </w:p>
        </w:tc>
        <w:tc>
          <w:tcPr/>
          <w:p>
            <w:pPr>
              <w:pStyle w:val="Compact"/>
            </w:pPr>
            <w:r>
              <w:t xml:space="preserve">0.738</w:t>
            </w:r>
          </w:p>
        </w:tc>
        <w:tc>
          <w:tcPr/>
          <w:p>
            <w:pPr>
              <w:pStyle w:val="Compact"/>
            </w:pPr>
            <w:r>
              <w:t xml:space="preserve">0.758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MindGlide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0.554 (0.517–0.589)</w:t>
            </w:r>
          </w:p>
        </w:tc>
        <w:tc>
          <w:tcPr/>
          <w:p>
            <w:pPr>
              <w:pStyle w:val="Compact"/>
            </w:pPr>
            <w:r>
              <w:t xml:space="preserve">7.5 (6.7–8.5)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MindGlide, raw input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0.538 (0.503–0.572)</w:t>
            </w:r>
          </w:p>
        </w:tc>
        <w:tc>
          <w:tcPr/>
          <w:p>
            <w:pPr>
              <w:pStyle w:val="Compact"/>
            </w:pPr>
            <w:r>
              <w:t xml:space="preserve">7.3 (6.6–8.0)</w:t>
            </w:r>
          </w:p>
        </w:tc>
        <w:tc>
          <w:tcPr/>
          <w:p>
            <w:pPr>
              <w:pStyle w:val="Compact"/>
            </w:pPr>
            <w:r>
              <w:t xml:space="preserve">0.606</w:t>
            </w:r>
          </w:p>
        </w:tc>
        <w:tc>
          <w:tcPr/>
          <w:p>
            <w:pPr>
              <w:pStyle w:val="Compac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WMH-SynthSeg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0.341 (0.308–0.373)</w:t>
            </w:r>
          </w:p>
        </w:tc>
        <w:tc>
          <w:tcPr/>
          <w:p>
            <w:pPr>
              <w:pStyle w:val="Compact"/>
            </w:pPr>
            <w:r>
              <w:t xml:space="preserve">3.0 (2.4–3.9)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thick</w:t>
            </w:r>
          </w:p>
        </w:tc>
        <w:tc>
          <w:tcPr/>
          <w:p>
            <w:pPr>
              <w:pStyle w:val="Compact"/>
            </w:pPr>
            <w:r>
              <w:t xml:space="preserve">SAMSEG (tier C)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0.492 (0.427–0.553)</w:t>
            </w:r>
          </w:p>
        </w:tc>
        <w:tc>
          <w:tcPr/>
          <w:p>
            <w:pPr>
              <w:pStyle w:val="Compact"/>
            </w:pPr>
            <w:r>
              <w:t xml:space="preserve">1.8 (1.4–2.3)</w:t>
            </w:r>
          </w:p>
        </w:tc>
        <w:tc>
          <w:tcPr/>
          <w:p>
            <w:pPr>
              <w:pStyle w:val="Compact"/>
            </w:pPr>
            <w:r>
              <w:t xml:space="preserve">0.837</w:t>
            </w:r>
            <w:r>
              <w:rPr>
                <w:vertAlign w:val="superscript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0.397</w:t>
            </w:r>
          </w:p>
        </w:tc>
      </w:tr>
    </w:tbl>
    <w:p>
      <w:pPr>
        <w:pStyle w:val="BodyText"/>
      </w:pPr>
      <w:r>
        <w:rPr>
          <w:vertAlign w:val="superscript"/>
        </w:rPr>
        <w:t xml:space="preserve">a</w:t>
      </w:r>
      <w:r>
        <w:t xml:space="preserve"> </w:t>
      </w:r>
      <w:r>
        <w:t xml:space="preserve">126 scans; precision is undefined when no lesion is predicted. Iso rows for the tools include all</w:t>
      </w:r>
      <w:r>
        <w:t xml:space="preserve"> </w:t>
      </w:r>
      <w:r>
        <w:t xml:space="preserve">30 Ljubljana scans; FLAMeS includes only the 10 it was not trained on.</w:t>
      </w:r>
    </w:p>
    <w:bookmarkEnd w:id="27"/>
    <w:bookmarkStart w:id="34" w:name="Xa759586f7dd71f9ee42678c80963c2b8413d87a"/>
    <w:p>
      <w:pPr>
        <w:pStyle w:val="Heading2"/>
      </w:pPr>
      <w:r>
        <w:t xml:space="preserve">3.3 Why the conservative tools had fewer false lesions</w:t>
      </w:r>
    </w:p>
    <w:p>
      <w:pPr>
        <w:pStyle w:val="FirstParagraph"/>
      </w:pPr>
      <w:r>
        <w:t xml:space="preserve">WMH-SynthSeg and SAMSEG marked much less lesion than the experts (Figure 2). On thick scans the mean</w:t>
      </w:r>
      <w:r>
        <w:t xml:space="preserve"> </w:t>
      </w:r>
      <w:r>
        <w:t xml:space="preserve">predicted lesion volume per cohort was 4.2–5.2 mL for WMH-SynthSeg and 6.8–9.7 mL for SAMSEG, against</w:t>
      </w:r>
      <w:r>
        <w:t xml:space="preserve"> </w:t>
      </w:r>
      <w:r>
        <w:t xml:space="preserve">expert volumes of 12.6–19.8 mL and FLAMeS volumes of 13.1–18.4 mL (</w:t>
      </w:r>
      <w:r>
        <w:rPr>
          <w:rStyle w:val="VerbatimChar"/>
        </w:rPr>
        <w:t xml:space="preserve">results/tables.md</w:t>
      </w:r>
      <w:r>
        <w:t xml:space="preserve">, Table 1).</w:t>
      </w:r>
      <w:r>
        <w:t xml:space="preserve"> </w:t>
      </w:r>
      <w:r>
        <w:t xml:space="preserve">Their lesion-wise precision was higher than or similar to that of FLAMeS (SAMSEG 0.837, WMH-SynthSeg</w:t>
      </w:r>
      <w:r>
        <w:t xml:space="preserve"> </w:t>
      </w:r>
      <w:r>
        <w:t xml:space="preserve">0.707, FLAMeS 0.738), but their recall was much lower (0.397 and 0.248 vs 0.758). The deficit concentrated in small lesions (Figure 3): of the 1,248</w:t>
      </w:r>
      <w:r>
        <w:t xml:space="preserve"> </w:t>
      </w:r>
      <w:r>
        <w:t xml:space="preserve">expert lesions of 14–50 mm³ on thick scans, FLAMeS detected 0.49 (95% CI 0.44–0.54), MindGlide 0.22</w:t>
      </w:r>
      <w:r>
        <w:t xml:space="preserve"> </w:t>
      </w:r>
      <w:r>
        <w:t xml:space="preserve">(0.18–0.27), SAMSEG 0.06 (0.04–0.09; 935 lesions in its scans) and WMH-SynthSeg 0.05 (0.03–0.07). For</w:t>
      </w:r>
      <w:r>
        <w:t xml:space="preserve"> </w:t>
      </w:r>
      <w:r>
        <w:t xml:space="preserve">lesions ≥ 1000 mm³, FLAMeS and MindGlide both detected 0.97, SAMSEG 0.89 and WMH-SynthSeg 0.83. The fewer false lesions of these two tools thus reflect a more conservative operating point; they</w:t>
      </w:r>
      <w:r>
        <w:t xml:space="preserve"> </w:t>
      </w:r>
      <w:r>
        <w:t xml:space="preserve">are not evidence of a better trade-off, because sensitivity fell far more than false lesions did.</w:t>
      </w:r>
    </w:p>
    <w:p>
      <w:pPr>
        <w:pStyle w:val="CaptionedFigure"/>
      </w:pPr>
      <w:r>
        <w:drawing>
          <wp:inline>
            <wp:extent cx="5334000" cy="3452836"/>
            <wp:effectExtent b="0" l="0" r="0" t="0"/>
            <wp:docPr descr="Figure 2. False lesions per scan against lesion-wise sensitivity for each tool in each cohort (mean and 95% patient-cluster bootstrap CI). The lower right is better. Top row: thick-slice cohorts; bottom row: 1 mm cohorts." title="" id="29" name="Picture"/>
            <a:graphic>
              <a:graphicData uri="http://schemas.openxmlformats.org/drawingml/2006/picture">
                <pic:pic>
                  <pic:nvPicPr>
                    <pic:cNvPr descr="figures/fig2_false_lesions_vs_sensitivity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False lesions per scan against lesion-wise sensitivity for each tool in each cohort (mean and 95% patient-cluster bootstrap CI). The lower right is better. Top row: thick-slice cohorts; bottom row: 1 mm cohorts.</w:t>
      </w:r>
    </w:p>
    <w:p>
      <w:pPr>
        <w:pStyle w:val="CaptionedFigure"/>
      </w:pPr>
      <w:r>
        <w:drawing>
          <wp:inline>
            <wp:extent cx="5334000" cy="2585002"/>
            <wp:effectExtent b="0" l="0" r="0" t="0"/>
            <wp:docPr descr="Figure 3. Proportion of expert lesions detected by lesion volume, 1 mm band (left) and thick band (right). Pooled over scans with patient-cluster bootstrap 95% CIs. SAMSEG covers the 129 tier-C scans." title="" id="32" name="Picture"/>
            <a:graphic>
              <a:graphicData uri="http://schemas.openxmlformats.org/drawingml/2006/picture">
                <pic:pic>
                  <pic:nvPicPr>
                    <pic:cNvPr descr="figures/fig3_detection_by_lesion_siz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Proportion of expert lesions detected by lesion volume, 1 mm band (left) and thick band (right). Pooled over scans with patient-cluster bootstrap 95% CIs. SAMSEG covers the 129 tier-C scans.</w:t>
      </w:r>
    </w:p>
    <w:bookmarkEnd w:id="34"/>
    <w:bookmarkStart w:id="35" w:name="sensitivity-analyses"/>
    <w:p>
      <w:pPr>
        <w:pStyle w:val="Heading2"/>
      </w:pPr>
      <w:r>
        <w:t xml:space="preserve">3.4 Sensitivity analyses</w:t>
      </w:r>
    </w:p>
    <w:p>
      <w:pPr>
        <w:pStyle w:val="FirstParagraph"/>
      </w:pPr>
      <w:r>
        <w:t xml:space="preserve">All six thick-band sensitivity analyses (S1–S4, S6, S7) kept the sign and the 95% interval of ΔF1</w:t>
      </w:r>
      <w:r>
        <w:t xml:space="preserve"> </w:t>
      </w:r>
      <w:r>
        <w:t xml:space="preserve">below zero for all three tools (range −0.153 to −0.194 for MindGlide, −0.212 to −0.244 for SAMSEG and −0.373 to −0.436</w:t>
      </w:r>
      <w:r>
        <w:t xml:space="preserve"> </w:t>
      </w:r>
      <w:r>
        <w:t xml:space="preserve">for WMH-SynthSeg;</w:t>
      </w:r>
      <w:r>
        <w:t xml:space="preserve"> </w:t>
      </w:r>
      <w:r>
        <w:rPr>
          <w:rStyle w:val="VerbatimChar"/>
        </w:rPr>
        <w:t xml:space="preserve">results/tables.md</w:t>
      </w:r>
      <w:r>
        <w:t xml:space="preserve">, Table 5). The fewer false lesions of WMH-SynthSeg (−3.66 to</w:t>
      </w:r>
      <w:r>
        <w:t xml:space="preserve"> </w:t>
      </w:r>
      <w:r>
        <w:t xml:space="preserve">−4.87) and SAMSEG (−5.00 to −8.25) persisted in every analysis. For MindGlide the false-lesion</w:t>
      </w:r>
      <w:r>
        <w:t xml:space="preserve"> </w:t>
      </w:r>
      <w:r>
        <w:t xml:space="preserve">difference depended on the lesion definition: it became significantly positive without a size filter</w:t>
      </w:r>
      <w:r>
        <w:t xml:space="preserve"> </w:t>
      </w:r>
      <w:r>
        <w:t xml:space="preserve">(S1, +2.42, 95% CI +0.10 to +5.06) and with in-plane components (S3, +8.09, +4.51 to +12.35), and stayed</w:t>
      </w:r>
      <w:r>
        <w:t xml:space="preserve"> </w:t>
      </w:r>
      <w:r>
        <w:t xml:space="preserve">inconclusive in the others (for example S7, scan-weighted, +0.85, −0.34 to +2.01). Excluding Muslim</w:t>
      </w:r>
      <w:r>
        <w:t xml:space="preserve"> </w:t>
      </w:r>
      <w:r>
        <w:t xml:space="preserve">(S6), whose in-plane spacing is estimated, did not change any conclusion.</w:t>
      </w:r>
    </w:p>
    <w:bookmarkEnd w:id="35"/>
    <w:bookmarkStart w:id="39" w:name="Xe98efbec0738a723b12273af27d7e9d07f0eab5"/>
    <w:p>
      <w:pPr>
        <w:pStyle w:val="Heading2"/>
      </w:pPr>
      <w:r>
        <w:t xml:space="preserve">3.5 Secondary comparisons: 1 mm FLAIR and degradation</w:t>
      </w:r>
    </w:p>
    <w:p>
      <w:pPr>
        <w:pStyle w:val="FirstParagraph"/>
      </w:pPr>
      <w:r>
        <w:t xml:space="preserve">On 1 mm scans FLAMeS had F1 0.765 (0.727–0.798). It had a higher F1 than MindGlide (ΔF1 −0.272),</w:t>
      </w:r>
      <w:r>
        <w:t xml:space="preserve"> </w:t>
      </w:r>
      <w:r>
        <w:t xml:space="preserve">WMH-SynthSeg (−0.363) and LST-AI (−0.180), all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0.003 (Table 3). MindGlide (+3.07) and LST-AI</w:t>
      </w:r>
      <w:r>
        <w:t xml:space="preserve"> </w:t>
      </w:r>
      <w:r>
        <w:t xml:space="preserve">(+3.79) produced more false lesions than FLAMeS. WMH-SynthSeg produced 1.32 fewer (95% CI 0.23–2.58);</w:t>
      </w:r>
      <w:r>
        <w:t xml:space="preserve"> </w:t>
      </w:r>
      <w:r>
        <w:t xml:space="preserve">this was not significant after Holm correction over the registered family (p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= 0.086), although</w:t>
      </w:r>
      <w:r>
        <w:t xml:space="preserve"> </w:t>
      </w:r>
      <w:r>
        <w:t xml:space="preserve">Holm over only the eight tests performed would have given 0.034. The registered rule governs.</w:t>
      </w:r>
      <w:r>
        <w:t xml:space="preserve"> </w:t>
      </w:r>
      <w:r>
        <w:t xml:space="preserve">Including the 20 Ljubljana scans used in FLAMeS training (S5) gave the same conclusions (ΔF1 −0.258,</w:t>
      </w:r>
      <w:r>
        <w:t xml:space="preserve"> </w:t>
      </w:r>
      <w:r>
        <w:t xml:space="preserve">−0.389 and −0.156 for MindGlide, WMH-SynthSeg and LST-AI).</w:t>
      </w:r>
    </w:p>
    <w:p>
      <w:pPr>
        <w:pStyle w:val="BodyText"/>
      </w:pPr>
      <w:r>
        <w:t xml:space="preserve">FLAMeS F1 was 0.765 in the iso band and 0.724 in the thick band; MindGlide’s was 0.518 and 0.554</w:t>
      </w:r>
      <w:r>
        <w:t xml:space="preserve"> </w:t>
      </w:r>
      <w:r>
        <w:t xml:space="preserve">(Figure 4A). In the pre-registered degradation contrast, MindGlide’s deficit relative to FLAMeS was</w:t>
      </w:r>
      <w:r>
        <w:t xml:space="preserve"> </w:t>
      </w:r>
      <w:r>
        <w:t xml:space="preserve">0.102 smaller on thick than on 1 mm scans (95% CI 0.047–0.160;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0.003); the secondary hypothesis of smaller degradation was therefore supported for MindGlide, which</w:t>
      </w:r>
      <w:r>
        <w:t xml:space="preserve"> </w:t>
      </w:r>
      <w:r>
        <w:t xml:space="preserve">nevertheless stayed below FLAMeS in both bands. For</w:t>
      </w:r>
      <w:r>
        <w:t xml:space="preserve"> </w:t>
      </w:r>
      <w:r>
        <w:t xml:space="preserve">WMH-SynthSeg no difference was shown (−0.021, −0.098 to +0.056;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= 1.00). The three SAMSEG tests</w:t>
      </w:r>
      <w:r>
        <w:t xml:space="preserve"> </w:t>
      </w:r>
      <w:r>
        <w:t xml:space="preserve">were not run. Because the iso and thick bands consist of different cohorts, this contrast mixes slice</w:t>
      </w:r>
      <w:r>
        <w:t xml:space="preserve"> </w:t>
      </w:r>
      <w:r>
        <w:t xml:space="preserve">thickness with site, scanner, population and annotation protocol (Section 4.3).</w:t>
      </w:r>
    </w:p>
    <w:p>
      <w:pPr>
        <w:pStyle w:val="CaptionedFigure"/>
      </w:pPr>
      <w:r>
        <w:drawing>
          <wp:inline>
            <wp:extent cx="5334000" cy="2594008"/>
            <wp:effectExtent b="0" l="0" r="0" t="0"/>
            <wp:docPr descr="Figure 4. (A) Cohort-weighted lesion-wise F1 per band (95% CI). (B) Paired difference from FLAMeS in each band; the slope of each line is the degradation contrast. The two bands are different cohorts, so the contrast is confounded with site." title="" id="37" name="Picture"/>
            <a:graphic>
              <a:graphicData uri="http://schemas.openxmlformats.org/drawingml/2006/picture">
                <pic:pic>
                  <pic:nvPicPr>
                    <pic:cNvPr descr="figures/fig4_degradation_1mm_to_thick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4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(A) Cohort-weighted lesion-wise F1 per band (95% CI). (B) Paired difference from FLAMeS in each band; the slope of each line is the degradation contrast. The two bands are different cohorts, so the contrast is confounded with site.</w:t>
      </w:r>
    </w:p>
    <w:bookmarkEnd w:id="39"/>
    <w:bookmarkStart w:id="40" w:name="mindglide-on-the-raw-flair"/>
    <w:p>
      <w:pPr>
        <w:pStyle w:val="Heading2"/>
      </w:pPr>
      <w:r>
        <w:t xml:space="preserve">3.6 MindGlide on the raw FLAIR</w:t>
      </w:r>
    </w:p>
    <w:p>
      <w:pPr>
        <w:pStyle w:val="FirstParagraph"/>
      </w:pPr>
      <w:r>
        <w:t xml:space="preserve">Giving MindGlide the FLAIR before skull stripping, as its documentation recommends, did not help.</w:t>
      </w:r>
      <w:r>
        <w:t xml:space="preserve"> </w:t>
      </w:r>
      <w:r>
        <w:t xml:space="preserve">Against FLAMeS, raw-input MindGlide had ΔF1 −0.186 (−0.222 to −0.150;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&lt; 0.002) and +0.38 false</w:t>
      </w:r>
      <w:r>
        <w:t xml:space="preserve"> </w:t>
      </w:r>
      <w:r>
        <w:t xml:space="preserve">lesions per scan (−0.94 to +1.88;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= 0.986). Against MindGlide on the stripped input it had</w:t>
      </w:r>
      <w:r>
        <w:t xml:space="preserve"> </w:t>
      </w:r>
      <w:r>
        <w:t xml:space="preserve">ΔF1 −0.016 (−0.028 to −0.004; p</w:t>
      </w:r>
      <w:r>
        <w:rPr>
          <w:vertAlign w:val="subscript"/>
        </w:rPr>
        <w:t xml:space="preserve">Holm</w:t>
      </w:r>
      <w:r>
        <w:t xml:space="preserve"> </w:t>
      </w:r>
      <w:r>
        <w:t xml:space="preserve">= 0.037) and −0.19 false lesions (−0.75 to +0.32); both</w:t>
      </w:r>
      <w:r>
        <w:t xml:space="preserve"> </w:t>
      </w:r>
      <w:r>
        <w:t xml:space="preserve">differences were within the equivalence margins, so the two inputs were equivalent.</w:t>
      </w:r>
    </w:p>
    <w:bookmarkEnd w:id="40"/>
    <w:bookmarkStart w:id="41" w:name="Xf287f83fd662d689fb54443ad21c80d6190da9c"/>
    <w:p>
      <w:pPr>
        <w:pStyle w:val="Heading2"/>
      </w:pPr>
      <w:r>
        <w:t xml:space="preserve">3.7 Exploratory: disagreement as a</w:t>
      </w:r>
      <w:r>
        <w:t xml:space="preserve"> </w:t>
      </w:r>
      <w:r>
        <w:t xml:space="preserve">“second opinion”</w:t>
      </w:r>
    </w:p>
    <w:p>
      <w:pPr>
        <w:pStyle w:val="FirstParagraph"/>
      </w:pPr>
      <w:r>
        <w:t xml:space="preserve">On thick scans, FLAMeS had a lesion-wise F1 below 0.5 in 14 of 179 scans (10 Muslim, 4 MS3SEG,</w:t>
      </w:r>
      <w:r>
        <w:t xml:space="preserve"> </w:t>
      </w:r>
      <w:r>
        <w:t xml:space="preserve">0 PediMS). Disagreement between MindGlide and FLAMeS identified these scans with an AUROC of 0.779;</w:t>
      </w:r>
      <w:r>
        <w:t xml:space="preserve"> </w:t>
      </w:r>
      <w:r>
        <w:t xml:space="preserve">post hoc, its 95% bootstrap interval was 0.597–0.925 and the cohort-stratified AUROC was 0.819.</w:t>
      </w:r>
      <w:r>
        <w:t xml:space="preserve"> </w:t>
      </w:r>
      <w:r>
        <w:t xml:space="preserve">Disagreement with WMH-SynthSeg (0.593; post hoc CI 0.385–0.787) or SAMSEG (0.488; 11 poor scans of</w:t>
      </w:r>
      <w:r>
        <w:t xml:space="preserve"> </w:t>
      </w:r>
      <w:r>
        <w:t xml:space="preserve">129) did not. On 1 mm scans only 2 scans were poor, so the AUROCs there (MindGlide 0.813, LST-AI 0.803,</w:t>
      </w:r>
      <w:r>
        <w:t xml:space="preserve"> </w:t>
      </w:r>
      <w:r>
        <w:t xml:space="preserve">WMH-SynthSeg 0.520) carry little information. Keeping only the FLAMeS lesions that a second tool also</w:t>
      </w:r>
      <w:r>
        <w:t xml:space="preserve"> </w:t>
      </w:r>
      <w:r>
        <w:t xml:space="preserve">marked removed false lesions but always cost F1: with MindGlide on thick scans, −3.8 false lesions per</w:t>
      </w:r>
      <w:r>
        <w:t xml:space="preserve"> </w:t>
      </w:r>
      <w:r>
        <w:t xml:space="preserve">scan (95% CI −4.7 to −2.8) and ΔF1 −0.074 (−0.111 to −0.040).</w:t>
      </w:r>
    </w:p>
    <w:bookmarkEnd w:id="41"/>
    <w:bookmarkStart w:id="42" w:name="runtime-and-cost"/>
    <w:p>
      <w:pPr>
        <w:pStyle w:val="Heading2"/>
      </w:pPr>
      <w:r>
        <w:t xml:space="preserve">3.8 Runtime and cost</w:t>
      </w:r>
    </w:p>
    <w:p>
      <w:pPr>
        <w:pStyle w:val="FirstParagraph"/>
      </w:pPr>
      <w:r>
        <w:t xml:space="preserve">Median times per scan on 4 vCPUs were 77–84 s for MindGlide (peak memory ≤ 5.91 GB), 216 s for</w:t>
      </w:r>
      <w:r>
        <w:t xml:space="preserve"> </w:t>
      </w:r>
      <w:r>
        <w:t xml:space="preserve">WMH-SynthSeg (peak 31.3 GB plus up to 14.4 GB of swap) and 470–524 s per run for SAMSEG on thick scans</w:t>
      </w:r>
      <w:r>
        <w:t xml:space="preserve"> </w:t>
      </w:r>
      <w:r>
        <w:t xml:space="preserve">(peak ≤ 7.1 GB, pilot included); all met the pre-stated CPU rule of ≤ 15 minutes per scan. For</w:t>
      </w:r>
      <w:r>
        <w:t xml:space="preserve"> </w:t>
      </w:r>
      <w:r>
        <w:t xml:space="preserve">comparison, FLAMeS took 67.5–69.1 s per fold and scan (about 5.7 minutes for the five folds without</w:t>
      </w:r>
      <w:r>
        <w:t xml:space="preserve"> </w:t>
      </w:r>
      <w:r>
        <w:t xml:space="preserve">test-time mirroring). Table 5 gives the cost.</w:t>
      </w:r>
    </w:p>
    <w:p>
      <w:pPr>
        <w:pStyle w:val="BodyText"/>
      </w:pPr>
      <w:r>
        <w:rPr>
          <w:b/>
          <w:bCs/>
        </w:rPr>
        <w:t xml:space="preserve">Table 5.</w:t>
      </w:r>
      <w:r>
        <w:t xml:space="preserve"> </w:t>
      </w:r>
      <w:r>
        <w:t xml:space="preserve">Compute for this study (list prices;</w:t>
      </w:r>
      <w:r>
        <w:t xml:space="preserve"> </w:t>
      </w:r>
      <w:r>
        <w:rPr>
          <w:rStyle w:val="VerbatimChar"/>
        </w:rPr>
        <w:t xml:space="preserve">data/compute_ledger_c8b4239.csv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  <w:tc>
          <w:tcPr/>
          <w:p>
            <w:pPr>
              <w:pStyle w:val="Compact"/>
            </w:pPr>
            <w:r>
              <w:t xml:space="preserve">Machine-hours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Pilots (MindGlide, FreeSurfer tools)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MindGlide, primary arm (324 scans)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6.78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MindGlide, raw-input arm (179 scans)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13.07</w:t>
            </w:r>
          </w:p>
        </w:tc>
        <w:tc>
          <w:tcPr/>
          <w:p>
            <w:pPr>
              <w:pStyle w:val="Compact"/>
            </w:pPr>
            <w:r>
              <w:t xml:space="preserve">1.93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WMH-SynthSeg (324 scans, incl. one</w:t>
            </w:r>
            <w:r>
              <w:t xml:space="preserve"> </w:t>
            </w:r>
            <w:r>
              <w:rPr>
                <w:rStyle w:val="VerbatimChar"/>
              </w:rPr>
              <w:t xml:space="preserve">--crop</w:t>
            </w:r>
            <w:r>
              <w:t xml:space="preserve"> </w:t>
            </w:r>
            <w:r>
              <w:t xml:space="preserve">re-run)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22.65</w:t>
            </w:r>
          </w:p>
        </w:tc>
        <w:tc>
          <w:tcPr/>
          <w:p>
            <w:pPr>
              <w:pStyle w:val="Compact"/>
            </w:pPr>
            <w:r>
              <w:t xml:space="preserve">5.63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SAMSEG, tier C (127 scans + 2 from pilots)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17.86</w:t>
            </w:r>
          </w:p>
        </w:tc>
        <w:tc>
          <w:tcPr/>
          <w:p>
            <w:pPr>
              <w:pStyle w:val="Compact"/>
            </w:pPr>
            <w:r>
              <w:t xml:space="preserve">3.37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Total, this study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61.90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Earlier runs reused: FLAMeS maps, 1 mm cohorts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14.24</w:t>
            </w:r>
          </w:p>
        </w:tc>
        <w:tc>
          <w:tcPr/>
          <w:p>
            <w:pPr>
              <w:pStyle w:val="Compact"/>
            </w:pPr>
            <w:r>
              <w:t xml:space="preserve">2.62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Earlier runs reused: HD-BET + FLAMeS maps, thick cohorts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21.79</w:t>
            </w:r>
          </w:p>
        </w:tc>
        <w:tc>
          <w:tcPr/>
          <w:p>
            <w:pPr>
              <w:pStyle w:val="Compact"/>
            </w:pPr>
            <w:r>
              <w:t xml:space="preserve">3.83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Earlier runs reused: LST-AI maps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4.05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</w:tbl>
    <w:p>
      <w:pPr>
        <w:pStyle w:val="BodyText"/>
      </w:pPr>
      <w:r>
        <w:t xml:space="preserve">With the real per-scan cost of SAMSEG, tier B (all 179 thick scans) would have fitted under the cap</w:t>
      </w:r>
      <w:r>
        <w:t xml:space="preserve"> </w:t>
      </w:r>
      <w:r>
        <w:t xml:space="preserve">(about 13.9 USD in total) but tier A would not (about 17.8 USD) (</w:t>
      </w:r>
      <w:r>
        <w:rPr>
          <w:rStyle w:val="VerbatimChar"/>
        </w:rPr>
        <w:t xml:space="preserve">results/RESULTS.md</w:t>
      </w:r>
      <w:r>
        <w:t xml:space="preserve">, Section 5).</w:t>
      </w:r>
    </w:p>
    <w:bookmarkEnd w:id="42"/>
    <w:bookmarkEnd w:id="43"/>
    <w:bookmarkStart w:id="49" w:name="discussion"/>
    <w:p>
      <w:pPr>
        <w:pStyle w:val="Heading1"/>
      </w:pPr>
      <w:r>
        <w:t xml:space="preserve">4. Discussion</w:t>
      </w:r>
    </w:p>
    <w:bookmarkStart w:id="44" w:name="what-this-negative-result-means"/>
    <w:p>
      <w:pPr>
        <w:pStyle w:val="Heading2"/>
      </w:pPr>
      <w:r>
        <w:t xml:space="preserve">4.1 What this negative result means</w:t>
      </w:r>
    </w:p>
    <w:p>
      <w:pPr>
        <w:pStyle w:val="FirstParagraph"/>
      </w:pPr>
      <w:r>
        <w:t xml:space="preserve">The pre-registered hypothesis — that a public CPU segmenter designed for heterogeneous resolution</w:t>
      </w:r>
      <w:r>
        <w:t xml:space="preserve"> </w:t>
      </w:r>
      <w:r>
        <w:t xml:space="preserve">outperforms a FLAIR-only nnU-Net ensemble on thick-slice FLAIR — was not supported. The result is not</w:t>
      </w:r>
      <w:r>
        <w:t xml:space="preserve"> </w:t>
      </w:r>
      <w:r>
        <w:t xml:space="preserve">an absence of evidence: for every tool the 95% interval for ΔF1 lay entirely below the equivalence</w:t>
      </w:r>
      <w:r>
        <w:t xml:space="preserve"> </w:t>
      </w:r>
      <w:r>
        <w:t xml:space="preserve">margin of −0.05, and the deficits (0.17–0.38 F1) are several times larger than the ±0.04 precision the</w:t>
      </w:r>
      <w:r>
        <w:t xml:space="preserve"> </w:t>
      </w:r>
      <w:r>
        <w:t xml:space="preserve">protocol anticipated. Within the conditions tested, the data exclude parity with FLAMeS on</w:t>
      </w:r>
      <w:r>
        <w:t xml:space="preserve"> </w:t>
      </w:r>
      <w:r>
        <w:t xml:space="preserve">lesion-wise F1. They do not say that these tools are poor for their intended purposes. WMH-SynthSeg</w:t>
      </w:r>
      <w:r>
        <w:t xml:space="preserve"> </w:t>
      </w:r>
      <w:r>
        <w:t xml:space="preserve">segments white-matter hyperintensities of any cause and was built for volumes in heterogeneous and</w:t>
      </w:r>
      <w:r>
        <w:t xml:space="preserve"> </w:t>
      </w:r>
      <w:r>
        <w:t xml:space="preserve">low-field scans</w:t>
      </w:r>
      <w:r>
        <w:t xml:space="preserve"> </w:t>
      </w:r>
      <w:r>
        <w:t xml:space="preserve">(</w:t>
      </w:r>
      <w:hyperlink w:anchor="ref-laso2024wmhsynthseg">
        <w:r>
          <w:rPr>
            <w:rStyle w:val="Hyperlink"/>
          </w:rPr>
          <w:t xml:space="preserve">Laso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2024</w:t>
        </w:r>
      </w:hyperlink>
      <w:r>
        <w:t xml:space="preserve">)</w:t>
      </w:r>
      <w:r>
        <w:t xml:space="preserve">; SAMSEG provides whole-brain anatomy together with lesions</w:t>
      </w:r>
      <w:r>
        <w:t xml:space="preserve"> </w:t>
      </w:r>
      <w:r>
        <w:t xml:space="preserve">(</w:t>
      </w:r>
      <w:hyperlink w:anchor="ref-cerri2021samseg">
        <w:r>
          <w:rPr>
            <w:rStyle w:val="Hyperlink"/>
          </w:rPr>
          <w:t xml:space="preserve">Cerri et al. 2021</w:t>
        </w:r>
      </w:hyperlink>
      <w:r>
        <w:t xml:space="preserve">)</w:t>
      </w:r>
      <w:r>
        <w:t xml:space="preserve">; MindGlide was designed to extract brain and lesion volumes from clinical archives</w:t>
      </w:r>
      <w:r>
        <w:t xml:space="preserve"> </w:t>
      </w:r>
      <w:r>
        <w:t xml:space="preserve">for research</w:t>
      </w:r>
      <w:r>
        <w:t xml:space="preserve"> </w:t>
      </w:r>
      <w:r>
        <w:t xml:space="preserve">(</w:t>
      </w:r>
      <w:hyperlink w:anchor="ref-goebl2025mindglide">
        <w:r>
          <w:rPr>
            <w:rStyle w:val="Hyperlink"/>
          </w:rPr>
          <w:t xml:space="preserve">Goebl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. Lesion-by-lesion detection against expert masks, at default</w:t>
      </w:r>
      <w:r>
        <w:t xml:space="preserve"> </w:t>
      </w:r>
      <w:r>
        <w:t xml:space="preserve">settings, is a stricter and different task.</w:t>
      </w:r>
    </w:p>
    <w:p>
      <w:pPr>
        <w:pStyle w:val="BodyText"/>
      </w:pPr>
      <w:r>
        <w:t xml:space="preserve">The conditions matter. All tools received the same skull-stripped FLAIR; only default settings and</w:t>
      </w:r>
      <w:r>
        <w:t xml:space="preserve"> </w:t>
      </w:r>
      <w:r>
        <w:t xml:space="preserve">each tool’s own binarisation were used; lesions were 3D components ≥ 14.1 mm³ matched by any overlap;</w:t>
      </w:r>
      <w:r>
        <w:t xml:space="preserve"> </w:t>
      </w:r>
      <w:r>
        <w:t xml:space="preserve">and reference masks followed each cohort’s protocol. Changing any of these could change absolute</w:t>
      </w:r>
      <w:r>
        <w:t xml:space="preserve"> </w:t>
      </w:r>
      <w:r>
        <w:t xml:space="preserve">numbers. The sensitivity analyses show that the direction of the F1 differences is robust to the lesion</w:t>
      </w:r>
      <w:r>
        <w:t xml:space="preserve"> </w:t>
      </w:r>
      <w:r>
        <w:t xml:space="preserve">definition (S1–S3), the</w:t>
      </w:r>
      <w:r>
        <w:t xml:space="preserve"> </w:t>
      </w:r>
      <w:r>
        <w:t xml:space="preserve">weighting (S7), the cohort with estimated geometry (S6) and the handling of failures (S4). The</w:t>
      </w:r>
      <w:r>
        <w:t xml:space="preserve"> </w:t>
      </w:r>
      <w:r>
        <w:t xml:space="preserve">raw-input arm shows that, for MindGlide at least, skull stripping was not the cause.</w:t>
      </w:r>
    </w:p>
    <w:bookmarkEnd w:id="44"/>
    <w:bookmarkStart w:id="45" w:name="Xac5d4a2789389dd67ef9e16d6ca876db91afd64"/>
    <w:p>
      <w:pPr>
        <w:pStyle w:val="Heading2"/>
      </w:pPr>
      <w:r>
        <w:t xml:space="preserve">4.2 Fewer false lesions are not a better operating point</w:t>
      </w:r>
    </w:p>
    <w:p>
      <w:pPr>
        <w:pStyle w:val="FirstParagraph"/>
      </w:pPr>
      <w:r>
        <w:t xml:space="preserve">SAMSEG and WMH-SynthSeg produced significantly fewer false lesions than FLAMeS. Read in isolation,</w:t>
      </w:r>
      <w:r>
        <w:t xml:space="preserve"> </w:t>
      </w:r>
      <w:r>
        <w:t xml:space="preserve">this could suggest a safer tool for thick-slice archives. Figures 2 and 3 show why it is not: both</w:t>
      </w:r>
      <w:r>
        <w:t xml:space="preserve"> </w:t>
      </w:r>
      <w:r>
        <w:t xml:space="preserve">tools mark a fraction of the expert lesion volume, detect only 5–6% of small expert lesions and</w:t>
      </w:r>
      <w:r>
        <w:t xml:space="preserve"> </w:t>
      </w:r>
      <w:r>
        <w:t xml:space="preserve">miss most lesions below 200 mm³. SAMSEG’s precision is higher than that of FLAMeS and WMH-SynthSeg’s is similar, but both have far</w:t>
      </w:r>
      <w:r>
        <w:t xml:space="preserve"> </w:t>
      </w:r>
      <w:r>
        <w:t xml:space="preserve">lower recall; the lower false-lesion count is the price of under-segmentation. The two FreeSurfer tools also write</w:t>
      </w:r>
      <w:r>
        <w:t xml:space="preserve"> </w:t>
      </w:r>
      <w:r>
        <w:t xml:space="preserve">lesion probability maps, so a different threshold could move them along their precision–recall</w:t>
      </w:r>
      <w:r>
        <w:t xml:space="preserve"> </w:t>
      </w:r>
      <w:r>
        <w:t xml:space="preserve">curves. That analysis was not pre-registered; it would also change the tools from their default</w:t>
      </w:r>
      <w:r>
        <w:t xml:space="preserve"> </w:t>
      </w:r>
      <w:r>
        <w:t xml:space="preserve">behaviour, which this study deliberately kept. The MindGlide paper reported that WMH-SynthSeg failed</w:t>
      </w:r>
      <w:r>
        <w:t xml:space="preserve"> </w:t>
      </w:r>
      <w:r>
        <w:t xml:space="preserve">on 15% of visually assessed contrasts, particularly with slices thicker than 5 mm</w:t>
      </w:r>
      <w:r>
        <w:t xml:space="preserve"> </w:t>
      </w:r>
      <w:r>
        <w:t xml:space="preserve">(</w:t>
      </w:r>
      <w:hyperlink w:anchor="ref-goebl2025mindglide">
        <w:r>
          <w:rPr>
            <w:rStyle w:val="Hyperlink"/>
          </w:rPr>
          <w:t xml:space="preserve">Goebl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. We saw no outright failures, but on thick slices WMH-SynthSeg marked only about a quarter to a third</w:t>
      </w:r>
      <w:r>
        <w:t xml:space="preserve"> </w:t>
      </w:r>
      <w:r>
        <w:t xml:space="preserve">of the expert lesion volume in every cohort. Part of WMH-SynthSeg’s apparent false-lesion count on MS3SEG may also come from</w:t>
      </w:r>
      <w:r>
        <w:t xml:space="preserve"> </w:t>
      </w:r>
      <w:r>
        <w:t xml:space="preserve">the dataset’s exclusion of</w:t>
      </w:r>
      <w:r>
        <w:t xml:space="preserve"> </w:t>
      </w:r>
      <w:r>
        <w:t xml:space="preserve">“normal”</w:t>
      </w:r>
      <w:r>
        <w:t xml:space="preserve"> </w:t>
      </w:r>
      <w:r>
        <w:t xml:space="preserve">periventricular hyperintensities from the reference.</w:t>
      </w:r>
    </w:p>
    <w:bookmarkEnd w:id="45"/>
    <w:bookmarkStart w:id="46" w:name="contamination-and-site-confounding"/>
    <w:p>
      <w:pPr>
        <w:pStyle w:val="Heading2"/>
      </w:pPr>
      <w:r>
        <w:t xml:space="preserve">4.3 Contamination and site confounding</w:t>
      </w:r>
    </w:p>
    <w:p>
      <w:pPr>
        <w:pStyle w:val="FirstParagraph"/>
      </w:pPr>
      <w:r>
        <w:rPr>
          <w:b/>
          <w:bCs/>
        </w:rPr>
        <w:t xml:space="preserve">Training overlap.</w:t>
      </w:r>
      <w:r>
        <w:t xml:space="preserve"> </w:t>
      </w:r>
      <w:r>
        <w:t xml:space="preserve">FLAMeS was trained on ISBI-2015, MSSEG-2016 and 20 Ljubljana scans</w:t>
      </w:r>
      <w:r>
        <w:t xml:space="preserve"> </w:t>
      </w:r>
      <w:r>
        <w:t xml:space="preserve">(</w:t>
      </w:r>
      <w:hyperlink w:anchor="ref-dereskewicz2025flames">
        <w:r>
          <w:rPr>
            <w:rStyle w:val="Hyperlink"/>
          </w:rPr>
          <w:t xml:space="preserve">Dereskewicz, La Rosa, Dos Santos Silva,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. We identified the 20 Ljubljana scans exactly from the dataset fingerprint</w:t>
      </w:r>
      <w:r>
        <w:t xml:space="preserve"> </w:t>
      </w:r>
      <w:r>
        <w:t xml:space="preserve">shipped with the weights and excluded them from every FLAMeS comparison; including them (S5) changed</w:t>
      </w:r>
      <w:r>
        <w:t xml:space="preserve"> </w:t>
      </w:r>
      <w:r>
        <w:t xml:space="preserve">no conclusion. ISBI-2015 and MSSEG-2016 are not among our cohorts. They do, however, appear in the label maps used to train WMH-SynthSeg and in the evaluation of</w:t>
      </w:r>
      <w:r>
        <w:t xml:space="preserve"> </w:t>
      </w:r>
      <w:r>
        <w:t xml:space="preserve">SAMSEG; Ljubljana was an external test set of both MindGlide and LST-AI, and ISBI-2015 of MindGlide. These overlaps concern the tools’ development history,</w:t>
      </w:r>
      <w:r>
        <w:t xml:space="preserve"> </w:t>
      </w:r>
      <w:r>
        <w:t xml:space="preserve">not the scans we evaluated. MSLesSeg was not in FLAMeS training, but the FLAMeS developers reported</w:t>
      </w:r>
      <w:r>
        <w:t xml:space="preserve"> </w:t>
      </w:r>
      <w:r>
        <w:t xml:space="preserve">results on 51 MSLesSeg cases before release. If model selection was influenced by that test, FLAMeS</w:t>
      </w:r>
      <w:r>
        <w:t xml:space="preserve"> </w:t>
      </w:r>
      <w:r>
        <w:t xml:space="preserve">may be slightly favoured on the iso band; the thick-band primary comparison does not involve MSLesSeg.</w:t>
      </w:r>
      <w:r>
        <w:t xml:space="preserve"> </w:t>
      </w:r>
      <w:r>
        <w:t xml:space="preserve">The thick cohorts — MS3SEG (released 2026), Muslim et al. (2022) and PediMS (2025) — come from centres</w:t>
      </w:r>
      <w:r>
        <w:t xml:space="preserve"> </w:t>
      </w:r>
      <w:r>
        <w:t xml:space="preserve">not listed in any tool’s training data. Their absence from the FLAMeS fingerprint was not verified</w:t>
      </w:r>
      <w:r>
        <w:t xml:space="preserve"> </w:t>
      </w:r>
      <w:r>
        <w:t xml:space="preserve">forensically.</w:t>
      </w:r>
    </w:p>
    <w:p>
      <w:pPr>
        <w:pStyle w:val="BodyText"/>
      </w:pPr>
      <w:r>
        <w:rPr>
          <w:b/>
          <w:bCs/>
        </w:rPr>
        <w:t xml:space="preserve">Site confounding.</w:t>
      </w:r>
      <w:r>
        <w:t xml:space="preserve"> </w:t>
      </w:r>
      <w:r>
        <w:t xml:space="preserve">The primary comparisons are paired within scan, so scanner, population and</w:t>
      </w:r>
      <w:r>
        <w:t xml:space="preserve"> </w:t>
      </w:r>
      <w:r>
        <w:t xml:space="preserve">annotation protocol affect FLAMeS and the comparator alike, and the cohort weighting prevents the</w:t>
      </w:r>
      <w:r>
        <w:t xml:space="preserve"> </w:t>
      </w:r>
      <w:r>
        <w:t xml:space="preserve">largest cohort from dominating. Two analyses are not protected. First, the degradation contrast</w:t>
      </w:r>
      <w:r>
        <w:t xml:space="preserve"> </w:t>
      </w:r>
      <w:r>
        <w:t xml:space="preserve">compares the iso cohorts (MSLesSeg, Ljubljana) with the thick cohorts (MS3SEG, Muslim, PediMS); these</w:t>
      </w:r>
      <w:r>
        <w:t xml:space="preserve"> </w:t>
      </w:r>
      <w:r>
        <w:t xml:space="preserve">differ in field strength, vendor, age group, skull-stripping pipeline and rater protocol, not only in</w:t>
      </w:r>
      <w:r>
        <w:t xml:space="preserve"> </w:t>
      </w:r>
      <w:r>
        <w:t xml:space="preserve">slice thickness. MindGlide’s smaller degradation is consistent with its training on synthetic</w:t>
      </w:r>
      <w:r>
        <w:t xml:space="preserve"> </w:t>
      </w:r>
      <w:r>
        <w:t xml:space="preserve">resolutions of 1–9 mm, but it may equally reflect its large over-segmentation on MSLesSeg (28.4 mL</w:t>
      </w:r>
      <w:r>
        <w:t xml:space="preserve"> </w:t>
      </w:r>
      <w:r>
        <w:t xml:space="preserve">predicted vs 11.8 mL expert;</w:t>
      </w:r>
      <w:r>
        <w:t xml:space="preserve"> </w:t>
      </w:r>
      <w:r>
        <w:rPr>
          <w:rStyle w:val="VerbatimChar"/>
        </w:rPr>
        <w:t xml:space="preserve">results/tables.md</w:t>
      </w:r>
      <w:r>
        <w:t xml:space="preserve">, Table 1), which inflates its deficit on the iso band.</w:t>
      </w:r>
      <w:r>
        <w:t xml:space="preserve"> </w:t>
      </w:r>
      <w:r>
        <w:t xml:space="preserve">A within-subject design — the same patients scanned, or resampled, at both resolutions — would be</w:t>
      </w:r>
      <w:r>
        <w:t xml:space="preserve"> </w:t>
      </w:r>
      <w:r>
        <w:t xml:space="preserve">needed to isolate slice thickness. Second, cohort-level differences in reference standards (for</w:t>
      </w:r>
      <w:r>
        <w:t xml:space="preserve"> </w:t>
      </w:r>
      <w:r>
        <w:t xml:space="preserve">example MS3SEG’s exclusion of normal hyperintensities and the sequential correction chain in Muslim et</w:t>
      </w:r>
      <w:r>
        <w:t xml:space="preserve"> </w:t>
      </w:r>
      <w:r>
        <w:t xml:space="preserve">al.) affect absolute values and cross-cohort comparisons. They do not explain away paired</w:t>
      </w:r>
      <w:r>
        <w:t xml:space="preserve"> </w:t>
      </w:r>
      <w:r>
        <w:t xml:space="preserve">differences of the size observed.</w:t>
      </w:r>
    </w:p>
    <w:bookmarkEnd w:id="46"/>
    <w:bookmarkStart w:id="47" w:name="X52c997f6a9a8a4bff08d0dbd859e09ccf8c42b7"/>
    <w:p>
      <w:pPr>
        <w:pStyle w:val="Heading2"/>
      </w:pPr>
      <w:r>
        <w:t xml:space="preserve">4.4 The exploratory MindGlide disagreement signal</w:t>
      </w:r>
    </w:p>
    <w:p>
      <w:pPr>
        <w:pStyle w:val="FirstParagraph"/>
      </w:pPr>
      <w:r>
        <w:t xml:space="preserve">Disagreement between MindGlide and FLAMeS ranked the thick scans on which FLAMeS performed poorly</w:t>
      </w:r>
      <w:r>
        <w:t xml:space="preserve"> </w:t>
      </w:r>
      <w:r>
        <w:t xml:space="preserve">with an AUROC of 0.78. This is exploratory and fragile. It rests on 14 poor scans, 10 of them from a</w:t>
      </w:r>
      <w:r>
        <w:t xml:space="preserve"> </w:t>
      </w:r>
      <w:r>
        <w:t xml:space="preserve">single cohort; its post hoc 95% interval runs from about 0.60 to 0.93; and the cut-off that defines a poor scan (F1 &lt; 0.5), although pre-specified, is arbitrary. The post hoc cohort-stratified AUROC (0.82) argues against a</w:t>
      </w:r>
      <w:r>
        <w:t xml:space="preserve"> </w:t>
      </w:r>
      <w:r>
        <w:t xml:space="preserve">pure site artefact, in which disagreement would only flag the hardest cohort. Two other observations</w:t>
      </w:r>
      <w:r>
        <w:t xml:space="preserve"> </w:t>
      </w:r>
      <w:r>
        <w:t xml:space="preserve">temper it. Disagreement with WMH-SynthSeg or SAMSEG carried no such signal, so the effect is specific</w:t>
      </w:r>
      <w:r>
        <w:t xml:space="preserve"> </w:t>
      </w:r>
      <w:r>
        <w:t xml:space="preserve">to a tool that segments as much as FLAMeS does. And using the second tool as a filter always cost F1.</w:t>
      </w:r>
      <w:r>
        <w:t xml:space="preserve"> </w:t>
      </w:r>
      <w:r>
        <w:t xml:space="preserve">The signal is a hypothesis for a quality-control flag, to be tested prospectively on new data with a</w:t>
      </w:r>
      <w:r>
        <w:t xml:space="preserve"> </w:t>
      </w:r>
      <w:r>
        <w:t xml:space="preserve">pre-specified threshold. It is not a validated method, and we make no claim about its clinical value.</w:t>
      </w:r>
    </w:p>
    <w:bookmarkEnd w:id="47"/>
    <w:bookmarkStart w:id="48" w:name="X8c2388435d5dbed0da5ba6df2255c75e76bd72b"/>
    <w:p>
      <w:pPr>
        <w:pStyle w:val="Heading2"/>
      </w:pPr>
      <w:r>
        <w:t xml:space="preserve">4.5 Relation to previous work and implications</w:t>
      </w:r>
    </w:p>
    <w:p>
      <w:pPr>
        <w:pStyle w:val="FirstParagraph"/>
      </w:pPr>
      <w:r>
        <w:t xml:space="preserve">The FLAMeS developers compared FLAMeS with SAMSEG, LST-LPA and LST-AI and reported that it</w:t>
      </w:r>
      <w:r>
        <w:t xml:space="preserve"> </w:t>
      </w:r>
      <w:r>
        <w:t xml:space="preserve">outperformed them on their external test sets, which included a small clinical cohort with 2D</w:t>
      </w:r>
      <w:r>
        <w:t xml:space="preserve"> </w:t>
      </w:r>
      <w:r>
        <w:t xml:space="preserve">anisotropic FLAIR</w:t>
      </w:r>
      <w:r>
        <w:t xml:space="preserve"> </w:t>
      </w:r>
      <w:r>
        <w:t xml:space="preserve">(</w:t>
      </w:r>
      <w:hyperlink w:anchor="ref-dereskewicz2025flames">
        <w:r>
          <w:rPr>
            <w:rStyle w:val="Hyperlink"/>
          </w:rPr>
          <w:t xml:space="preserve">Dereskewicz, La Rosa, Dos Santos Silva, et al.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2025</w:t>
        </w:r>
      </w:hyperlink>
      <w:r>
        <w:t xml:space="preserve">)</w:t>
      </w:r>
      <w:r>
        <w:t xml:space="preserve">; our 1 mm results agree in direction, and our results</w:t>
      </w:r>
      <w:r>
        <w:t xml:space="preserve"> </w:t>
      </w:r>
      <w:r>
        <w:t xml:space="preserve">extend the comparison to 179 thick-slice scans from three further sources. LST-AI, which</w:t>
      </w:r>
      <w:r>
        <w:t xml:space="preserve"> </w:t>
      </w:r>
      <w:r>
        <w:t xml:space="preserve">uses a T1 as well, had a lower F1 and more false lesions than FLAMeS on 1 mm data. To our knowledge,</w:t>
      </w:r>
      <w:r>
        <w:t xml:space="preserve"> </w:t>
      </w:r>
      <w:r>
        <w:t xml:space="preserve">this is the first pre-registered, paired comparison on real thick-slice FLAIR from several sources</w:t>
      </w:r>
      <w:r>
        <w:t xml:space="preserve"> </w:t>
      </w:r>
      <w:r>
        <w:t xml:space="preserve">with expert masks. For researchers working with thick-slice archives, the results suggest three</w:t>
      </w:r>
      <w:r>
        <w:t xml:space="preserve"> </w:t>
      </w:r>
      <w:r>
        <w:t xml:space="preserve">practical points: (i) report lesion-wise metrics stratified by slice thickness and lesion size, not</w:t>
      </w:r>
      <w:r>
        <w:t xml:space="preserve"> </w:t>
      </w:r>
      <w:r>
        <w:t xml:space="preserve">only Dice or total volume; (ii) treat low false-lesion counts with suspicion until sensitivity is</w:t>
      </w:r>
      <w:r>
        <w:t xml:space="preserve"> </w:t>
      </w:r>
      <w:r>
        <w:t xml:space="preserve">reported alongside them; and (iii) where a CPU is the constraint, a 5-fold nnU-Net ensemble ran in about 5.7 minutes per scan on 4 vCPUs here, so a GPU is not required to use it. None of this</w:t>
      </w:r>
      <w:r>
        <w:t xml:space="preserve"> </w:t>
      </w:r>
      <w:r>
        <w:t xml:space="preserve">establishes clinical utility, which would need clinical end points, reader studies and prospective</w:t>
      </w:r>
      <w:r>
        <w:t xml:space="preserve"> </w:t>
      </w:r>
      <w:r>
        <w:t xml:space="preserve">data.</w:t>
      </w:r>
    </w:p>
    <w:bookmarkEnd w:id="48"/>
    <w:bookmarkEnd w:id="49"/>
    <w:bookmarkStart w:id="50" w:name="limitations"/>
    <w:p>
      <w:pPr>
        <w:pStyle w:val="Heading1"/>
      </w:pPr>
      <w:r>
        <w:t xml:space="preserve">5. Limitations</w:t>
      </w:r>
    </w:p>
    <w:p>
      <w:pPr>
        <w:pStyle w:val="FirstParagraph"/>
      </w:pPr>
      <w:r>
        <w:t xml:space="preserve">First, SAMSEG was run on 129 of the 179 thick scans (the budget tier) and on no 1 mm scan, so three</w:t>
      </w:r>
      <w:r>
        <w:t xml:space="preserve"> </w:t>
      </w:r>
      <w:r>
        <w:t xml:space="preserve">secondary tests could not be run; with hindsight, tier B would have fitted the budget. Second, all</w:t>
      </w:r>
      <w:r>
        <w:t xml:space="preserve"> </w:t>
      </w:r>
      <w:r>
        <w:t xml:space="preserve">tools received skull-stripped input; SAMSEG’s atlas registration is documented to prefer images with</w:t>
      </w:r>
      <w:r>
        <w:t xml:space="preserve"> </w:t>
      </w:r>
      <w:r>
        <w:t xml:space="preserve">skull, and only MindGlide was also tested on raw input. Third, default settings and binarisations were</w:t>
      </w:r>
      <w:r>
        <w:t xml:space="preserve"> </w:t>
      </w:r>
      <w:r>
        <w:t xml:space="preserve">used, and probability maps were not exploited, so operating points differ between tools. Fourth,</w:t>
      </w:r>
      <w:r>
        <w:t xml:space="preserve"> </w:t>
      </w:r>
      <w:r>
        <w:t xml:space="preserve">reference standards differ across cohorts and each is a single consensus or validated mask; no</w:t>
      </w:r>
      <w:r>
        <w:t xml:space="preserve"> </w:t>
      </w:r>
      <w:r>
        <w:t xml:space="preserve">inter-rater variability was available, and in thick slices 3D components can merge lesions across</w:t>
      </w:r>
      <w:r>
        <w:t xml:space="preserve"> </w:t>
      </w:r>
      <w:r>
        <w:t xml:space="preserve">slices (S3 addresses this only partly). Fifth, the thick band gives 9 PediMS children the same weight</w:t>
      </w:r>
      <w:r>
        <w:t xml:space="preserve"> </w:t>
      </w:r>
      <w:r>
        <w:t xml:space="preserve">as 100 MS3SEG patients; the scan-weighted analysis agreed. Sixth, Muslim et al. in-plane spacing is</w:t>
      </w:r>
      <w:r>
        <w:t xml:space="preserve"> </w:t>
      </w:r>
      <w:r>
        <w:t xml:space="preserve">estimated, which changes physical size thresholds by about ±10% in volume; excluding the cohort did</w:t>
      </w:r>
      <w:r>
        <w:t xml:space="preserve"> </w:t>
      </w:r>
      <w:r>
        <w:t xml:space="preserve">not change the conclusions. Seventh, the degradation contrast is between cohorts and confounded with</w:t>
      </w:r>
      <w:r>
        <w:t xml:space="preserve"> </w:t>
      </w:r>
      <w:r>
        <w:t xml:space="preserve">site. Eighth, the exploratory analysis rests on few poor scans. Ninth, the pre-registration was</w:t>
      </w:r>
      <w:r>
        <w:t xml:space="preserve"> </w:t>
      </w:r>
      <w:r>
        <w:t xml:space="preserve">time-stamped in a public git repository rather than an independent registry. The study was designed</w:t>
      </w:r>
      <w:r>
        <w:t xml:space="preserve"> </w:t>
      </w:r>
      <w:r>
        <w:t xml:space="preserve">and analysed by a single author with an AI coding agent, and an unplanned interim analysis was run</w:t>
      </w:r>
      <w:r>
        <w:t xml:space="preserve"> </w:t>
      </w:r>
      <w:r>
        <w:t xml:space="preserve">(Table 6). Tenth, the nnU-Net package version used for the FLAMeS maps was frozen in the job’s</w:t>
      </w:r>
      <w:r>
        <w:t xml:space="preserve"> </w:t>
      </w:r>
      <w:r>
        <w:t xml:space="preserve">environment lock file but not recorded in the run manifests [TODO owner]. Finally, we evaluated</w:t>
      </w:r>
      <w:r>
        <w:t xml:space="preserve"> </w:t>
      </w:r>
      <w:r>
        <w:t xml:space="preserve">research-grade public data; other archives, vendors and protocols may behave differently, and no</w:t>
      </w:r>
      <w:r>
        <w:t xml:space="preserve"> </w:t>
      </w:r>
      <w:r>
        <w:t xml:space="preserve">clinical outcome was studied.</w:t>
      </w:r>
    </w:p>
    <w:bookmarkEnd w:id="50"/>
    <w:bookmarkStart w:id="51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In a pre-registered, paired benchmark on 179 real thick-slice FLAIR scans from three public cohorts,</w:t>
      </w:r>
      <w:r>
        <w:t xml:space="preserve"> </w:t>
      </w:r>
      <w:r>
        <w:t xml:space="preserve">none of MindGlide, WMH-SynthSeg or SAMSEG outperformed the FLAMeS 5-fold ensemble, and all had a</w:t>
      </w:r>
      <w:r>
        <w:t xml:space="preserve"> </w:t>
      </w:r>
      <w:r>
        <w:t xml:space="preserve">substantially lower lesion-wise F1. The two FreeSurfer tools produced fewer false lesions only by</w:t>
      </w:r>
      <w:r>
        <w:t xml:space="preserve"> </w:t>
      </w:r>
      <w:r>
        <w:t xml:space="preserve">missing most small lesions. On 1 mm scans FLAMeS also had the highest F1 of the tools tested there, including LST-AI (SAMSEG</w:t>
      </w:r>
      <w:r>
        <w:t xml:space="preserve"> </w:t>
      </w:r>
      <w:r>
        <w:t xml:space="preserve">was not run on them).</w:t>
      </w:r>
      <w:r>
        <w:t xml:space="preserve"> </w:t>
      </w:r>
      <w:r>
        <w:t xml:space="preserve">MindGlide degraded less than FLAMeS from 1 mm to thick slices, but this between-cohort contrast is</w:t>
      </w:r>
      <w:r>
        <w:t xml:space="preserve"> </w:t>
      </w:r>
      <w:r>
        <w:t xml:space="preserve">confounded with site. Its disagreement with FLAMeS is a candidate signal for scans that need a second</w:t>
      </w:r>
      <w:r>
        <w:t xml:space="preserve"> </w:t>
      </w:r>
      <w:r>
        <w:t xml:space="preserve">look, which requires prospective testing. The negative result, the full protocol, every per-scan</w:t>
      </w:r>
      <w:r>
        <w:t xml:space="preserve"> </w:t>
      </w:r>
      <w:r>
        <w:t xml:space="preserve">metric and the code are public so that others can test other tools under the same rules.</w:t>
      </w:r>
    </w:p>
    <w:bookmarkEnd w:id="51"/>
    <w:bookmarkStart w:id="52" w:name="pre-registration-deviations"/>
    <w:p>
      <w:pPr>
        <w:pStyle w:val="Heading1"/>
      </w:pPr>
      <w:r>
        <w:t xml:space="preserve">Pre-registration deviations</w:t>
      </w:r>
    </w:p>
    <w:p>
      <w:pPr>
        <w:pStyle w:val="FirstParagraph"/>
      </w:pPr>
      <w:r>
        <w:rPr>
          <w:b/>
          <w:bCs/>
        </w:rPr>
        <w:t xml:space="preserve">Table 6.</w:t>
      </w:r>
      <w:r>
        <w:t xml:space="preserve"> </w:t>
      </w:r>
      <w:r>
        <w:t xml:space="preserve">Deviations and notable events (protocol Section 12, plus one item identified while</w:t>
      </w:r>
      <w:r>
        <w:t xml:space="preserve"> </w:t>
      </w:r>
      <w:r>
        <w:t xml:space="preserve">writing this manuscript).</w:t>
      </w:r>
      <w:r>
        <w:t xml:space="preserve"> </w:t>
      </w:r>
      <w:r>
        <w:t xml:space="preserve">“Seen before”</w:t>
      </w:r>
      <w:r>
        <w:t xml:space="preserve"> </w:t>
      </w:r>
      <w:r>
        <w:t xml:space="preserve">lists what had been observed when the change was made.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Seen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2026-10-21</w:t>
            </w:r>
          </w:p>
        </w:tc>
        <w:tc>
          <w:tcPr/>
          <w:p>
            <w:pPr>
              <w:pStyle w:val="Compact"/>
            </w:pPr>
            <w:r>
              <w:t xml:space="preserve">Wording of the MindGlide command description (its cleanup step acts on the whole label map)</w:t>
            </w:r>
          </w:p>
        </w:tc>
        <w:tc>
          <w:tcPr/>
          <w:p>
            <w:pPr>
              <w:pStyle w:val="Compact"/>
            </w:pPr>
            <w:r>
              <w:t xml:space="preserve">clarification; no rule changed</w:t>
            </w:r>
          </w:p>
        </w:tc>
        <w:tc>
          <w:tcPr/>
          <w:p>
            <w:pPr>
              <w:pStyle w:val="Compact"/>
            </w:pPr>
            <w:r>
              <w:t xml:space="preserve">nothing launched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Secondary arm 7.6 added: MindGlide on the raw FLAIR (thick band), own Holm family of 4</w:t>
            </w:r>
          </w:p>
        </w:tc>
        <w:tc>
          <w:tcPr/>
          <w:p>
            <w:pPr>
              <w:pStyle w:val="Compact"/>
            </w:pPr>
            <w:r>
              <w:t xml:space="preserve">MindGlide’s documentation asks for raw input</w:t>
            </w:r>
          </w:p>
        </w:tc>
        <w:tc>
          <w:tcPr/>
          <w:p>
            <w:pPr>
              <w:pStyle w:val="Compact"/>
            </w:pPr>
            <w:r>
              <w:t xml:space="preserve">MindGlide pilot only (3 scans: timings, one lesion volume); no full-run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Unplanned interim analysis</w:t>
            </w:r>
            <w:r>
              <w:t xml:space="preserve"> </w:t>
            </w:r>
            <w:r>
              <w:t xml:space="preserve">of MindGlide (both arms) and LST-AI vs FLAMeS (commit 6d507c4), although the protocol stated a single analysis on full outputs; not logged at the time, identified while writing this manuscript</w:t>
            </w:r>
          </w:p>
        </w:tc>
        <w:tc>
          <w:tcPr/>
          <w:p>
            <w:pPr>
              <w:pStyle w:val="Compact"/>
            </w:pPr>
            <w:r>
              <w:t xml:space="preserve">progress report while FreeSurfer tools awaited a licence</w:t>
            </w:r>
          </w:p>
        </w:tc>
        <w:tc>
          <w:tcPr/>
          <w:p>
            <w:pPr>
              <w:pStyle w:val="Compact"/>
            </w:pPr>
            <w:r>
              <w:t xml:space="preserve">interim results for MindGlide, LST-AI and FLAMeS on all cohorts; the final analysis reproduces them exactly. All later decisions below were taken after this interim, but before any WMH-SynthSeg or SAMSEG accuracy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2026-10-24</w:t>
            </w:r>
          </w:p>
        </w:tc>
        <w:tc>
          <w:tcPr/>
          <w:p>
            <w:pPr>
              <w:pStyle w:val="Compact"/>
            </w:pPr>
            <w:r>
              <w:t xml:space="preserve">WMH-SynthSeg run without</w:t>
            </w:r>
            <w:r>
              <w:t xml:space="preserve"> </w:t>
            </w:r>
            <w:r>
              <w:rPr>
                <w:rStyle w:val="VerbatimChar"/>
              </w:rPr>
              <w:t xml:space="preserve">--crop</w:t>
            </w:r>
            <w:r>
              <w:t xml:space="preserve"> </w:t>
            </w:r>
            <w:r>
              <w:t xml:space="preserve">although the pilot peak (31.32 GB) exceeded the pre-stated 30 GB trigger; kept for all scans; one out-of-memory scan re-run with</w:t>
            </w:r>
            <w:r>
              <w:t xml:space="preserve"> </w:t>
            </w:r>
            <w:r>
              <w:rPr>
                <w:rStyle w:val="VerbatimChar"/>
              </w:rPr>
              <w:t xml:space="preserve">--crop</w:t>
            </w:r>
          </w:p>
        </w:tc>
        <w:tc>
          <w:tcPr/>
          <w:p>
            <w:pPr>
              <w:pStyle w:val="Compact"/>
            </w:pPr>
            <w:r>
              <w:t xml:space="preserve">conflicting rule in the runbook; uniform processing preferred</w:t>
            </w:r>
          </w:p>
        </w:tc>
        <w:tc>
          <w:tcPr/>
          <w:p>
            <w:pPr>
              <w:pStyle w:val="Compact"/>
            </w:pPr>
            <w:r>
              <w:t xml:space="preserve">runtime and memory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2026-10-24 / 2026-10-28</w:t>
            </w:r>
          </w:p>
        </w:tc>
        <w:tc>
          <w:tcPr/>
          <w:p>
            <w:pPr>
              <w:pStyle w:val="Compact"/>
            </w:pPr>
            <w:r>
              <w:t xml:space="preserve">Budget rule (pre-stated) first dropped SAMSEG on projected cost, then, re-run with the real spend, selected tier C (129 scans); boot disk 80 GB instead of 150 GB</w:t>
            </w:r>
          </w:p>
        </w:tc>
        <w:tc>
          <w:tcPr/>
          <w:p>
            <w:pPr>
              <w:pStyle w:val="Compact"/>
            </w:pPr>
            <w:r>
              <w:t xml:space="preserve">application of the pre-stated rule</w:t>
            </w:r>
          </w:p>
        </w:tc>
        <w:tc>
          <w:tcPr/>
          <w:p>
            <w:pPr>
              <w:pStyle w:val="Compact"/>
            </w:pPr>
            <w:r>
              <w:t xml:space="preserve">runtime and cost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SAMSEG analysis set = tier C; its one 1 mm pilot output enters no comparison; three SAMSEG secondary tests not run</w:t>
            </w:r>
          </w:p>
        </w:tc>
        <w:tc>
          <w:tcPr/>
          <w:p>
            <w:pPr>
              <w:pStyle w:val="Compact"/>
            </w:pPr>
            <w:r>
              <w:t xml:space="preserve">a single 1 mm scan gives a one-cluster bootstrap</w:t>
            </w:r>
          </w:p>
        </w:tc>
        <w:tc>
          <w:tcPr/>
          <w:p>
            <w:pPr>
              <w:pStyle w:val="Compact"/>
            </w:pPr>
            <w:r>
              <w:t xml:space="preserve">run-integrity checks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Holm over the registered family size, tests not run counted as p = 1</w:t>
            </w:r>
          </w:p>
        </w:tc>
        <w:tc>
          <w:tcPr/>
          <w:p>
            <w:pPr>
              <w:pStyle w:val="Compact"/>
            </w:pPr>
            <w:r>
              <w:t xml:space="preserve">the secondary family could not be complete</w:t>
            </w:r>
          </w:p>
        </w:tc>
        <w:tc>
          <w:tcPr/>
          <w:p>
            <w:pPr>
              <w:pStyle w:val="Compact"/>
            </w:pPr>
            <w:r>
              <w:t xml:space="preserve">run-integrity checks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Note: one SAMSEG pilot output (ms3seg_001) lacks a manifest record; verified by voxel count and kept</w:t>
            </w:r>
          </w:p>
        </w:tc>
        <w:tc>
          <w:tcPr/>
          <w:p>
            <w:pPr>
              <w:pStyle w:val="Compact"/>
            </w:pPr>
            <w:r>
              <w:t xml:space="preserve">pilot manifest write crashed (bug fixed)</w:t>
            </w:r>
          </w:p>
        </w:tc>
        <w:tc>
          <w:tcPr/>
          <w:p>
            <w:pPr>
              <w:pStyle w:val="Compact"/>
            </w:pPr>
            <w:r>
              <w:t xml:space="preserve">voxel count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2026-10-31</w:t>
            </w:r>
          </w:p>
        </w:tc>
        <w:tc>
          <w:tcPr/>
          <w:p>
            <w:pPr>
              <w:pStyle w:val="Compact"/>
            </w:pPr>
            <w:r>
              <w:t xml:space="preserve">Post hoc, labelled additions in this manuscript (AUROC interval and stratified AUROC, precision and recall per band, FLAMeS on the SAMSEG set)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all results</w:t>
            </w:r>
          </w:p>
        </w:tc>
      </w:tr>
    </w:tbl>
    <w:bookmarkEnd w:id="52"/>
    <w:bookmarkStart w:id="63" w:name="declarations"/>
    <w:p>
      <w:pPr>
        <w:pStyle w:val="Heading1"/>
      </w:pPr>
      <w:r>
        <w:t xml:space="preserve">Declarations</w:t>
      </w:r>
    </w:p>
    <w:bookmarkStart w:id="54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All five cohorts are public under CC BY licences (Table 7). The per-scan metrics of every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research/paper_f/results/per_scan.csv.gz</w:t>
      </w:r>
      <w:r>
        <w:t xml:space="preserve">, 6,906 rows), all comparisons, the run-integrity report,</w:t>
      </w:r>
      <w:r>
        <w:t xml:space="preserve"> </w:t>
      </w:r>
      <w:r>
        <w:t xml:space="preserve">the compute ledger snapshot and the numbers added for this manuscript are in the public repository</w:t>
      </w:r>
      <w:r>
        <w:t xml:space="preserve"> </w:t>
      </w:r>
      <w:hyperlink r:id="rId53">
        <w:r>
          <w:rPr>
            <w:rStyle w:val="Hyperlink"/>
          </w:rPr>
          <w:t xml:space="preserve">https://github.com/nicolasbonilla/medical-imaging-viewer</w:t>
        </w:r>
      </w:hyperlink>
      <w:r>
        <w:t xml:space="preserve"> </w:t>
      </w:r>
      <w:r>
        <w:t xml:space="preserve">(branch</w:t>
      </w:r>
      <w:r>
        <w:t xml:space="preserve"> </w:t>
      </w:r>
      <w:r>
        <w:rPr>
          <w:rStyle w:val="VerbatimChar"/>
        </w:rPr>
        <w:t xml:space="preserve">research/paper-f-tool-benchmark</w:t>
      </w:r>
      <w:r>
        <w:t xml:space="preserve">,</w:t>
      </w:r>
      <w:r>
        <w:t xml:space="preserve"> </w:t>
      </w:r>
      <w:r>
        <w:t xml:space="preserve">results commit</w:t>
      </w:r>
      <w:r>
        <w:t xml:space="preserve"> </w:t>
      </w:r>
      <w:r>
        <w:rPr>
          <w:rStyle w:val="VerbatimChar"/>
        </w:rPr>
        <w:t xml:space="preserve">1d3be48</w:t>
      </w:r>
      <w:r>
        <w:t xml:space="preserve">; manuscript branch</w:t>
      </w:r>
      <w:r>
        <w:t xml:space="preserve"> </w:t>
      </w:r>
      <w:r>
        <w:rPr>
          <w:rStyle w:val="VerbatimChar"/>
        </w:rPr>
        <w:t xml:space="preserve">research/paper-f-manuscript</w:t>
      </w:r>
      <w:r>
        <w:t xml:space="preserve">). The SHA-256 of every input</w:t>
      </w:r>
      <w:r>
        <w:t xml:space="preserve"> </w:t>
      </w:r>
      <w:r>
        <w:t xml:space="preserve">file is in</w:t>
      </w:r>
      <w:r>
        <w:t xml:space="preserve"> </w:t>
      </w:r>
      <w:r>
        <w:rPr>
          <w:rStyle w:val="VerbatimChar"/>
        </w:rPr>
        <w:t xml:space="preserve">run_info.json</w:t>
      </w:r>
      <w:r>
        <w:t xml:space="preserve">. The tool output masks are kept in the authors’ research storage [TODO</w:t>
      </w:r>
      <w:r>
        <w:t xml:space="preserve"> </w:t>
      </w:r>
      <w:r>
        <w:t xml:space="preserve">owner: decide whether to deposit the derived masks, e.g. on Zenodo with a DOI, respecting the dataset</w:t>
      </w:r>
      <w:r>
        <w:t xml:space="preserve"> </w:t>
      </w:r>
      <w:r>
        <w:t xml:space="preserve">and tool licences]. Every number in this manuscript is mapped to its source file and field in</w:t>
      </w:r>
      <w:r>
        <w:t xml:space="preserve"> </w:t>
      </w:r>
      <w:r>
        <w:rPr>
          <w:rStyle w:val="VerbatimChar"/>
        </w:rPr>
        <w:t xml:space="preserve">NUMBERS_CHECK.md</w:t>
      </w:r>
      <w:r>
        <w:t xml:space="preserve">.</w:t>
      </w:r>
    </w:p>
    <w:bookmarkEnd w:id="54"/>
    <w:bookmarkStart w:id="55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Analysis code (</w:t>
      </w:r>
      <w:r>
        <w:rPr>
          <w:rStyle w:val="VerbatimChar"/>
        </w:rPr>
        <w:t xml:space="preserve">metrics.py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verify_runs.py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plan_budget.py</w:t>
      </w:r>
      <w:r>
        <w:t xml:space="preserve">), the</w:t>
      </w:r>
      <w:r>
        <w:t xml:space="preserve"> </w:t>
      </w:r>
      <w:r>
        <w:t xml:space="preserve">cloud job scripts (</w:t>
      </w:r>
      <w:r>
        <w:rPr>
          <w:rStyle w:val="VerbatimChar"/>
        </w:rPr>
        <w:t xml:space="preserve">research/cloud/</w:t>
      </w:r>
      <w:r>
        <w:t xml:space="preserve">), the figure script (</w:t>
      </w:r>
      <w:r>
        <w:rPr>
          <w:rStyle w:val="VerbatimChar"/>
        </w:rPr>
        <w:t xml:space="preserve">make_figures.py</w:t>
      </w:r>
      <w:r>
        <w:t xml:space="preserve">) and the post hoc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compute_extra_numbers.py</w:t>
      </w:r>
      <w:r>
        <w:t xml:space="preserve">) are in the same repository; local tests are in</w:t>
      </w:r>
      <w:r>
        <w:t xml:space="preserve"> </w:t>
      </w:r>
      <w:r>
        <w:rPr>
          <w:rStyle w:val="VerbatimChar"/>
        </w:rPr>
        <w:t xml:space="preserve">research/paper_f/tests/</w:t>
      </w:r>
      <w:r>
        <w:t xml:space="preserve">.</w:t>
      </w:r>
      <w:r>
        <w:t xml:space="preserve"> </w:t>
      </w:r>
      <w:r>
        <w:t xml:space="preserve">[TODO owner: the repository has no licence file; add one (for example MIT for the research code) and</w:t>
      </w:r>
      <w:r>
        <w:t xml:space="preserve"> </w:t>
      </w:r>
      <w:r>
        <w:t xml:space="preserve">archive a tagged release with a DOI before submission.]</w:t>
      </w:r>
    </w:p>
    <w:bookmarkEnd w:id="55"/>
    <w:bookmarkStart w:id="56" w:name="ethics-statement"/>
    <w:p>
      <w:pPr>
        <w:pStyle w:val="Heading2"/>
      </w:pPr>
      <w:r>
        <w:t xml:space="preserve">Ethics statement</w:t>
      </w:r>
    </w:p>
    <w:p>
      <w:pPr>
        <w:pStyle w:val="FirstParagraph"/>
      </w:pPr>
      <w:r>
        <w:t xml:space="preserve">This study used only public, de-identified datasets released by their authors under open licences,</w:t>
      </w:r>
      <w:r>
        <w:t xml:space="preserve"> </w:t>
      </w:r>
      <w:r>
        <w:t xml:space="preserve">with ethics approval and consent handled by the original studies as described in their data papers.</w:t>
      </w:r>
      <w:r>
        <w:t xml:space="preserve"> </w:t>
      </w:r>
      <w:r>
        <w:t xml:space="preserve">No new data were collected and no participant was contacted. [TODO owner: confirm whether the journal</w:t>
      </w:r>
      <w:r>
        <w:t xml:space="preserve"> </w:t>
      </w:r>
      <w:r>
        <w:t xml:space="preserve">or the author’s institution requires a formal waiver statement for secondary analysis of public data.]</w:t>
      </w:r>
    </w:p>
    <w:bookmarkEnd w:id="56"/>
    <w:bookmarkStart w:id="57" w:name="licences"/>
    <w:p>
      <w:pPr>
        <w:pStyle w:val="Heading2"/>
      </w:pPr>
      <w:r>
        <w:t xml:space="preserve">Licences</w:t>
      </w:r>
    </w:p>
    <w:p>
      <w:pPr>
        <w:pStyle w:val="FirstParagraph"/>
      </w:pPr>
      <w:r>
        <w:rPr>
          <w:b/>
          <w:bCs/>
        </w:rPr>
        <w:t xml:space="preserve">Table 7.</w:t>
      </w:r>
      <w:r>
        <w:t xml:space="preserve"> </w:t>
      </w:r>
      <w:r>
        <w:t xml:space="preserve">Licences of data and software as used here (checked 2026-10-21 and 2026-10-31).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Licence</w:t>
            </w:r>
          </w:p>
        </w:tc>
        <w:tc>
          <w:tcPr/>
          <w:p>
            <w:pPr>
              <w:pStyle w:val="Compact"/>
            </w:pPr>
            <w:r>
              <w:t xml:space="preserve">Consequence for this 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MSLesSeg data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attribution; changes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Ljubljana (open_ms_data)</w:t>
            </w:r>
          </w:p>
        </w:tc>
        <w:tc>
          <w:tcPr/>
          <w:p>
            <w:pPr>
              <w:pStyle w:val="Compact"/>
            </w:pPr>
            <w:r>
              <w:t xml:space="preserve">CC BY</w:t>
            </w:r>
          </w:p>
        </w:tc>
        <w:tc>
          <w:tcPr/>
          <w:p>
            <w:pPr>
              <w:pStyle w:val="Compact"/>
            </w:pPr>
            <w:r>
              <w:t xml:space="preserve">attribution [TODO owner: confirm the licence version]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MS3SEG data</w:t>
            </w:r>
          </w:p>
        </w:tc>
        <w:tc>
          <w:tcPr/>
          <w:p>
            <w:pPr>
              <w:pStyle w:val="Compact"/>
            </w:pPr>
            <w:r>
              <w:t xml:space="preserve">CC BY 4.0 (article text CC BY-NC-ND 4.0)</w:t>
            </w:r>
          </w:p>
        </w:tc>
        <w:tc>
          <w:tcPr/>
          <w:p>
            <w:pPr>
              <w:pStyle w:val="Compact"/>
            </w:pPr>
            <w:r>
              <w:t xml:space="preserve">attribution; changes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Muslim et al. data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attribution; reorientation and estimated pixel size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PediMS data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FLAMeS weights</w:t>
            </w:r>
          </w:p>
        </w:tc>
        <w:tc>
          <w:tcPr/>
          <w:p>
            <w:pPr>
              <w:pStyle w:val="Compact"/>
            </w:pPr>
            <w:r>
              <w:t xml:space="preserve">CC BY 4.0; nnU-Net code Apache-2.0</w:t>
            </w:r>
          </w:p>
        </w:tc>
        <w:tc>
          <w:tcPr/>
          <w:p>
            <w:pPr>
              <w:pStyle w:val="Compact"/>
            </w:pPr>
            <w:r>
              <w:t xml:space="preserve">attribution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LST-AI</w:t>
            </w:r>
          </w:p>
        </w:tc>
        <w:tc>
          <w:tcPr/>
          <w:p>
            <w:pPr>
              <w:pStyle w:val="Compact"/>
            </w:pPr>
            <w:r>
              <w:t xml:space="preserve">MIT; documented as research-only and not approved for clinical use</w:t>
            </w:r>
          </w:p>
        </w:tc>
        <w:tc>
          <w:tcPr/>
          <w:p>
            <w:pPr>
              <w:pStyle w:val="Compact"/>
            </w:pPr>
            <w:r>
              <w:t xml:space="preserve">research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MindGlide</w:t>
            </w:r>
          </w:p>
        </w:tc>
        <w:tc>
          <w:tcPr/>
          <w:p>
            <w:pPr>
              <w:pStyle w:val="Compact"/>
            </w:pPr>
            <w:r>
              <w:t xml:space="preserve">code MIT; no licence stated for the weights</w:t>
            </w:r>
          </w:p>
        </w:tc>
        <w:tc>
          <w:tcPr/>
          <w:p>
            <w:pPr>
              <w:pStyle w:val="Compact"/>
            </w:pPr>
            <w:r>
              <w:t xml:space="preserve">research use; ask the authors before any other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FreeSurfer 8.2.0 (WMH-SynthSeg, SAMSEG)</w:t>
            </w:r>
          </w:p>
        </w:tc>
        <w:tc>
          <w:tcPr/>
          <w:p>
            <w:pPr>
              <w:pStyle w:val="Compact"/>
            </w:pPr>
            <w:r>
              <w:t xml:space="preserve">FreeSurfer Software License Agreement (registration); states research purposes, clinical applications not advised</w:t>
            </w:r>
          </w:p>
        </w:tc>
        <w:tc>
          <w:tcPr/>
          <w:p>
            <w:pPr>
              <w:pStyle w:val="Compact"/>
            </w:pPr>
            <w:r>
              <w:t xml:space="preserve">research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HD-BET 2.0.1</w:t>
            </w:r>
          </w:p>
        </w:tc>
        <w:tc>
          <w:tcPr/>
          <w:p>
            <w:pPr>
              <w:pStyle w:val="Compact"/>
            </w:pPr>
            <w:r>
              <w:t xml:space="preserve">code Apache-2.0; weights licence [TODO owner: re-confirm; our notes record CC BY-NC 4.0]</w:t>
            </w:r>
          </w:p>
        </w:tc>
        <w:tc>
          <w:tcPr/>
          <w:p>
            <w:pPr>
              <w:pStyle w:val="Compact"/>
            </w:pPr>
            <w:r>
              <w:t xml:space="preserve">research use</w:t>
            </w:r>
          </w:p>
        </w:tc>
      </w:tr>
    </w:tbl>
    <w:bookmarkEnd w:id="57"/>
    <w:bookmarkStart w:id="58" w:name="conflict-of-interest"/>
    <w:p>
      <w:pPr>
        <w:pStyle w:val="Heading2"/>
      </w:pPr>
      <w:r>
        <w:t xml:space="preserve">Conflict of interest</w:t>
      </w:r>
    </w:p>
    <w:p>
      <w:pPr>
        <w:pStyle w:val="FirstParagraph"/>
      </w:pPr>
      <w:r>
        <w:t xml:space="preserve">N. G. Bonilla Vargas develops MSTool-AI, investigational software for MRI in MS whose research</w:t>
      </w:r>
      <w:r>
        <w:t xml:space="preserve"> </w:t>
      </w:r>
      <w:r>
        <w:t xml:space="preserve">pipeline uses FLAMeS. A CPU tool outperforming FLAMeS would have been useful to that software; a</w:t>
      </w:r>
      <w:r>
        <w:t xml:space="preserve"> </w:t>
      </w:r>
      <w:r>
        <w:t xml:space="preserve">negative result is not. The author has no financial relationship with the developers of any tool</w:t>
      </w:r>
      <w:r>
        <w:t xml:space="preserve"> </w:t>
      </w:r>
      <w:r>
        <w:t xml:space="preserve">tested. [TODO owner: confirm, and add co-authors’ declarations.]</w:t>
      </w:r>
    </w:p>
    <w:bookmarkEnd w:id="58"/>
    <w:bookmarkStart w:id="59" w:name="use-of-ai-assistance"/>
    <w:p>
      <w:pPr>
        <w:pStyle w:val="Heading2"/>
      </w:pPr>
      <w:r>
        <w:t xml:space="preserve">Use of AI assistance</w:t>
      </w:r>
    </w:p>
    <w:p>
      <w:pPr>
        <w:pStyle w:val="FirstParagraph"/>
      </w:pPr>
      <w:r>
        <w:t xml:space="preserve">The analysis code (metric definitions, evaluation and summary scripts, run-integrity and budget</w:t>
      </w:r>
      <w:r>
        <w:t xml:space="preserve"> </w:t>
      </w:r>
      <w:r>
        <w:t xml:space="preserve">scripts, cloud job scripts and their tests), the drafts of the protocol and runbook, the figure and</w:t>
      </w:r>
      <w:r>
        <w:t xml:space="preserve"> </w:t>
      </w:r>
      <w:r>
        <w:t xml:space="preserve">post hoc scripts, the reference verification and the first draft of this manuscript were written by</w:t>
      </w:r>
      <w:r>
        <w:t xml:space="preserve"> </w:t>
      </w:r>
      <w:r>
        <w:t xml:space="preserve">an AI coding agent (Claude Opus 5.5, Anthropic, used through Claude Code) under the direction of the</w:t>
      </w:r>
      <w:r>
        <w:t xml:space="preserve"> </w:t>
      </w:r>
      <w:r>
        <w:t xml:space="preserve">author. All 13 commits of the study branch, from the protocol to the final results, carry a</w:t>
      </w:r>
      <w:r>
        <w:t xml:space="preserve"> </w:t>
      </w:r>
      <w:r>
        <w:rPr>
          <w:rStyle w:val="VerbatimChar"/>
        </w:rPr>
        <w:t xml:space="preserve">Co-Authored-By</w:t>
      </w:r>
      <w:r>
        <w:t xml:space="preserve"> </w:t>
      </w:r>
      <w:r>
        <w:t xml:space="preserve">trailer naming the agent. The author set the research question and the constraints (CPU only, a budget cap, no clinical</w:t>
      </w:r>
      <w:r>
        <w:t xml:space="preserve"> </w:t>
      </w:r>
      <w:r>
        <w:t xml:space="preserve">claims), reviewed and approved the protocol and its amendments, and is responsible for the content. [TODO owner: confirm this description, in particular who launched each cloud run, and</w:t>
      </w:r>
      <w:r>
        <w:t xml:space="preserve"> </w:t>
      </w:r>
      <w:r>
        <w:t xml:space="preserve">review every sentence before submission.] The agent is not an author. No AI system generated or</w:t>
      </w:r>
      <w:r>
        <w:t xml:space="preserve"> </w:t>
      </w:r>
      <w:r>
        <w:t xml:space="preserve">altered any image, mask or measurement.</w:t>
      </w:r>
    </w:p>
    <w:bookmarkEnd w:id="59"/>
    <w:bookmarkStart w:id="60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This research received no specific grant from any funding agency in the public, commercial or</w:t>
      </w:r>
      <w:r>
        <w:t xml:space="preserve"> </w:t>
      </w:r>
      <w:r>
        <w:t xml:space="preserve">not-for-profit sectors. Cloud compute was paid from the promotional free-trial credit of the</w:t>
      </w:r>
      <w:r>
        <w:t xml:space="preserve"> </w:t>
      </w:r>
      <w:r>
        <w:t xml:space="preserve">author’s Google Cloud account.</w:t>
      </w:r>
    </w:p>
    <w:bookmarkEnd w:id="60"/>
    <w:bookmarkStart w:id="61" w:name="author-contributions-credit"/>
    <w:p>
      <w:pPr>
        <w:pStyle w:val="Heading2"/>
      </w:pPr>
      <w:r>
        <w:t xml:space="preserve">Author contributions (CRediT)</w:t>
      </w:r>
    </w:p>
    <w:p>
      <w:pPr>
        <w:pStyle w:val="FirstParagraph"/>
      </w:pPr>
      <w:r>
        <w:t xml:space="preserve">N. G. Bonilla Vargas: Conceptualization, Methodology, Investigation, Resources, Project</w:t>
      </w:r>
      <w:r>
        <w:t xml:space="preserve"> </w:t>
      </w:r>
      <w:r>
        <w:t xml:space="preserve">administration, Supervision, Validation, Writing – review &amp; editing. Software, formal analysis,</w:t>
      </w:r>
      <w:r>
        <w:t xml:space="preserve"> </w:t>
      </w:r>
      <w:r>
        <w:t xml:space="preserve">visualisation and the original draft were produced with an AI coding agent under the author’s</w:t>
      </w:r>
      <w:r>
        <w:t xml:space="preserve"> </w:t>
      </w:r>
      <w:r>
        <w:t xml:space="preserve">direction (see</w:t>
      </w:r>
      <w:r>
        <w:t xml:space="preserve"> </w:t>
      </w:r>
      <w:r>
        <w:t xml:space="preserve">“Use of AI assistance”</w:t>
      </w:r>
      <w:r>
        <w:t xml:space="preserve">). [TODO owner: co-authors and their roles.]</w:t>
      </w:r>
    </w:p>
    <w:bookmarkEnd w:id="61"/>
    <w:bookmarkStart w:id="62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We thank the creators of MSLesSeg, the Ljubljana dataset, MS3SEG, the Muslim et al. dataset and PediMS</w:t>
      </w:r>
      <w:r>
        <w:t xml:space="preserve"> </w:t>
      </w:r>
      <w:r>
        <w:t xml:space="preserve">for releasing their data, and the developers of FLAMeS, nnU-Net, LST-AI, MindGlide, FreeSurfer,</w:t>
      </w:r>
      <w:r>
        <w:t xml:space="preserve"> </w:t>
      </w:r>
      <w:r>
        <w:t xml:space="preserve">WMH-SynthSeg, SAMSEG, HD-BET and SynthStrip for releasing their software.</w:t>
      </w:r>
    </w:p>
    <w:bookmarkEnd w:id="62"/>
    <w:bookmarkEnd w:id="63"/>
    <w:bookmarkStart w:id="64" w:name="appendix"/>
    <w:p>
      <w:pPr>
        <w:pStyle w:val="Heading1"/>
      </w:pPr>
      <w:r>
        <w:t xml:space="preserve">Appendix</w:t>
      </w:r>
    </w:p>
    <w:p>
      <w:pPr>
        <w:pStyle w:val="FirstParagraph"/>
      </w:pPr>
      <w:r>
        <w:rPr>
          <w:b/>
          <w:bCs/>
        </w:rPr>
        <w:t xml:space="preserve">Table A1.</w:t>
      </w:r>
      <w:r>
        <w:t xml:space="preserve"> </w:t>
      </w:r>
      <w:r>
        <w:t xml:space="preserve">Software identity.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MindGlide 1.3.0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ghcr.io/ms-pinpoint/mindglide@sha256:14e88f61d6cba18322d03774b168682e255383387aaab55e6a5aa33a2dbdd971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MindGlide 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_20240404_conjurer_trained_dice_7733.pt</w:t>
            </w:r>
            <w:r>
              <w:t xml:space="preserve">, SHA-256</w:t>
            </w:r>
            <w:r>
              <w:t xml:space="preserve"> </w:t>
            </w:r>
            <w:r>
              <w:rPr>
                <w:rStyle w:val="VerbatimChar"/>
              </w:rPr>
              <w:t xml:space="preserve">881e30efd9444a25ee70c01d795dd9fb21ac750a48f1ba8070fcd79fb75e76ca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FreeSurfer 8.2.0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freesurfer/freesurfer@sha256:5648104ca75a24f6ee5a8786146f99b405c2bda1da12bff723a15056da8ddf6b</w:t>
            </w:r>
            <w:r>
              <w:t xml:space="preserve"> </w:t>
            </w:r>
            <w:r>
              <w:t xml:space="preserve">(build</w:t>
            </w:r>
            <w:r>
              <w:t xml:space="preserve"> </w:t>
            </w:r>
            <w:r>
              <w:rPr>
                <w:rStyle w:val="VerbatimChar"/>
              </w:rPr>
              <w:t xml:space="preserve">freesurfer-linux-rocky8_x86_64-8.2.0-20260314-d932c45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WMH-SynthSeg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WMH-SynthSeg_v10_231110.pth</w:t>
            </w:r>
            <w:r>
              <w:t xml:space="preserve">, 790,531,383 bytes, SHA-256</w:t>
            </w:r>
            <w:r>
              <w:t xml:space="preserve"> </w:t>
            </w:r>
            <w:r>
              <w:rPr>
                <w:rStyle w:val="VerbatimChar"/>
              </w:rPr>
              <w:t xml:space="preserve">0ece39dd651357aa95222fc4d45fa32d00f11e763d2583cae3f869989ce35988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LST-AI 1.2.0 container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jqmcginnis/lst-ai@sha256:2b2a0d6454e6efff60a350df3c650ae9584f1926338dec7842f9e71912cc6c85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FLAMeS weights</w:t>
            </w:r>
          </w:p>
        </w:tc>
        <w:tc>
          <w:tcPr/>
          <w:p>
            <w:pPr>
              <w:pStyle w:val="Compact"/>
            </w:pPr>
            <w:r>
              <w:t xml:space="preserve">Zenodo 10.5281/zenodo.17955359, version 2.0 (</w:t>
            </w:r>
            <w:r>
              <w:rPr>
                <w:rStyle w:val="VerbatimChar"/>
              </w:rPr>
              <w:t xml:space="preserve">Dataset004_WML.zip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at registration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65a95e3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PROTOCOL.md</w:t>
            </w:r>
            <w:r>
              <w:t xml:space="preserve"> </w:t>
            </w:r>
            <w:r>
              <w:t xml:space="preserve">SHA-256</w:t>
            </w:r>
            <w:r>
              <w:t xml:space="preserve"> </w:t>
            </w:r>
            <w:r>
              <w:rPr>
                <w:rStyle w:val="VerbatimChar"/>
              </w:rPr>
              <w:t xml:space="preserve">587ba9ff…f284e2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metrics.py</w:t>
            </w:r>
            <w:r>
              <w:t xml:space="preserve"> </w:t>
            </w:r>
            <w:r>
              <w:rPr>
                <w:rStyle w:val="VerbatimChar"/>
              </w:rPr>
              <w:t xml:space="preserve">8aae0587…5637f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evaluate.py</w:t>
            </w:r>
            <w:r>
              <w:t xml:space="preserve"> </w:t>
            </w:r>
            <w:r>
              <w:rPr>
                <w:rStyle w:val="VerbatimChar"/>
              </w:rPr>
              <w:t xml:space="preserve">93512380…f3032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flames_inputs.json</w:t>
            </w:r>
            <w:r>
              <w:t xml:space="preserve"> </w:t>
            </w:r>
            <w:r>
              <w:rPr>
                <w:rStyle w:val="VerbatimChar"/>
              </w:rPr>
              <w:t xml:space="preserve">4847df6d…e398d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analysis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  <w:r>
              <w:t xml:space="preserve"> </w:t>
            </w:r>
            <w:r>
              <w:rPr>
                <w:rStyle w:val="VerbatimChar"/>
              </w:rPr>
              <w:t xml:space="preserve">7a9a24e</w:t>
            </w:r>
            <w:r>
              <w:t xml:space="preserve">; input-list digest</w:t>
            </w:r>
            <w:r>
              <w:t xml:space="preserve"> </w:t>
            </w:r>
            <w:r>
              <w:rPr>
                <w:rStyle w:val="VerbatimChar"/>
              </w:rPr>
              <w:t xml:space="preserve">d50d356bcd6676b38fb10545f1f0a659a49582ba4d83ad8c5567bdcc9dd0b43b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A2.</w:t>
      </w:r>
      <w:r>
        <w:t xml:space="preserve"> </w:t>
      </w:r>
      <w:r>
        <w:t xml:space="preserve">Run integrity (</w:t>
      </w:r>
      <w:r>
        <w:rPr>
          <w:rStyle w:val="VerbatimChar"/>
        </w:rPr>
        <w:t xml:space="preserve">results/verify_runs.json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Present, hash = machine record</w:t>
            </w:r>
          </w:p>
        </w:tc>
        <w:tc>
          <w:tcPr/>
          <w:p>
            <w:pPr>
              <w:pStyle w:val="Compact"/>
            </w:pPr>
            <w:r>
              <w:t xml:space="preserve">Never recovered</w:t>
            </w:r>
          </w:p>
        </w:tc>
        <w:tc>
          <w:tcPr/>
          <w:p>
            <w:pPr>
              <w:pStyle w:val="Compact"/>
            </w:pPr>
            <w:r>
              <w:t xml:space="preserve">Failed, then re-run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WMH-SynthSeg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(out of memory →</w:t>
            </w:r>
            <w:r>
              <w:t xml:space="preserve"> </w:t>
            </w:r>
            <w:r>
              <w:rPr>
                <w:rStyle w:val="VerbatimChar"/>
              </w:rPr>
              <w:t xml:space="preserve">--crop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MindGlide, primary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324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 (pilot setup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MindGlide, raw input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3 (10 h time guard)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SAMSEG, tier C</w:t>
            </w:r>
          </w:p>
        </w:tc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128 + 1 verified by voxel count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Supplementary tables (per cohort, sub-bands, sensitivity analyses, size bins, exploratory analyses)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research/paper_f/results/tables.md</w:t>
      </w:r>
      <w:r>
        <w:t xml:space="preserve">, generated by</w:t>
      </w:r>
      <w:r>
        <w:t xml:space="preserve"> </w:t>
      </w:r>
      <w:r>
        <w:rPr>
          <w:rStyle w:val="VerbatimChar"/>
        </w:rPr>
        <w:t xml:space="preserve">summarize.py</w:t>
      </w:r>
      <w:r>
        <w:t xml:space="preserve"> </w:t>
      </w:r>
      <w:r>
        <w:t xml:space="preserve">from the pre-registered outputs.</w:t>
      </w:r>
    </w:p>
    <w:bookmarkEnd w:id="64"/>
    <w:bookmarkStart w:id="152" w:name="references"/>
    <w:p>
      <w:pPr>
        <w:pStyle w:val="Heading1"/>
      </w:pPr>
      <w:r>
        <w:t xml:space="preserve">References</w:t>
      </w:r>
    </w:p>
    <w:bookmarkStart w:id="151" w:name="refs"/>
    <w:bookmarkStart w:id="66" w:name="ref-bawil2026ms3segdata"/>
    <w:p>
      <w:pPr>
        <w:pStyle w:val="Bibliography"/>
      </w:pPr>
      <w:r>
        <w:t xml:space="preserve">Bashiri Bawil, Mahdi. 2026.</w:t>
      </w:r>
      <w:r>
        <w:t xml:space="preserve"> </w:t>
      </w:r>
      <w:r>
        <w:rPr>
          <w:i/>
          <w:iCs/>
        </w:rPr>
        <w:t xml:space="preserve">MS3SEG</w:t>
      </w:r>
      <w:r>
        <w:rPr>
          <w:i/>
          <w:iCs/>
        </w:rPr>
        <w:t xml:space="preserve"> </w:t>
      </w:r>
      <w:r>
        <w:rPr>
          <w:i/>
          <w:iCs/>
        </w:rPr>
        <w:t xml:space="preserve">Dataset</w:t>
      </w:r>
      <w:r>
        <w:t xml:space="preserve">. Figshare.</w:t>
      </w:r>
      <w:r>
        <w:t xml:space="preserve"> </w:t>
      </w:r>
      <w:hyperlink r:id="rId65">
        <w:r>
          <w:rPr>
            <w:rStyle w:val="Hyperlink"/>
          </w:rPr>
          <w:t xml:space="preserve">https://doi.org/10.6084/m9.figshare.30393475</w:t>
        </w:r>
      </w:hyperlink>
      <w:r>
        <w:t xml:space="preserve">.</w:t>
      </w:r>
    </w:p>
    <w:bookmarkEnd w:id="66"/>
    <w:bookmarkStart w:id="68" w:name="ref-bawil2026ms3seg"/>
    <w:p>
      <w:pPr>
        <w:pStyle w:val="Bibliography"/>
      </w:pPr>
      <w:r>
        <w:t xml:space="preserve">Bawil, Mahdi Bashiri, Mousa Shamsi, Aydin Ghalehasadi, Ali Fahmi Jafargholkhanloo, and Abolhassan Shakeri Bavil. 2026.</w:t>
      </w:r>
      <w:r>
        <w:t xml:space="preserve"> </w:t>
      </w:r>
      <w:r>
        <w:t xml:space="preserve">‘A Multiple Sclerosis</w:t>
      </w:r>
      <w:r>
        <w:t xml:space="preserve"> </w:t>
      </w:r>
      <w:r>
        <w:t xml:space="preserve">MRI</w:t>
      </w:r>
      <w:r>
        <w:t xml:space="preserve"> </w:t>
      </w:r>
      <w:r>
        <w:t xml:space="preserve">Dataset with Tri-Mask Annotations for Lesion Segmentation’</w:t>
      </w:r>
      <w:r>
        <w:t xml:space="preserve">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13 (1): 867.</w:t>
      </w:r>
      <w:r>
        <w:t xml:space="preserve"> </w:t>
      </w:r>
      <w:hyperlink r:id="rId67">
        <w:r>
          <w:rPr>
            <w:rStyle w:val="Hyperlink"/>
          </w:rPr>
          <w:t xml:space="preserve">https://doi.org/10.1038/s41597-026-07184-5</w:t>
        </w:r>
      </w:hyperlink>
      <w:r>
        <w:t xml:space="preserve">.</w:t>
      </w:r>
    </w:p>
    <w:bookmarkEnd w:id="68"/>
    <w:bookmarkStart w:id="70" w:name="ref-billot2023synthseg"/>
    <w:p>
      <w:pPr>
        <w:pStyle w:val="Bibliography"/>
      </w:pPr>
      <w:r>
        <w:t xml:space="preserve">Billot, Benjamin, Douglas N. Greve, Oula Puonti, et al. 2023.</w:t>
      </w:r>
      <w:r>
        <w:t xml:space="preserve"> </w:t>
      </w:r>
      <w:r>
        <w:t xml:space="preserve">‘</w:t>
      </w:r>
      <w:r>
        <w:t xml:space="preserve">SynthSeg</w:t>
      </w:r>
      <w:r>
        <w:t xml:space="preserve">: Segmentation of Brain</w:t>
      </w:r>
      <w:r>
        <w:t xml:space="preserve"> </w:t>
      </w:r>
      <w:r>
        <w:t xml:space="preserve">MRI</w:t>
      </w:r>
      <w:r>
        <w:t xml:space="preserve"> </w:t>
      </w:r>
      <w:r>
        <w:t xml:space="preserve">Scans of Any Contrast and Resolution Without Retraining’</w:t>
      </w:r>
      <w:r>
        <w:t xml:space="preserve">.</w:t>
      </w:r>
      <w:r>
        <w:t xml:space="preserve"> </w:t>
      </w:r>
      <w:r>
        <w:rPr>
          <w:i/>
          <w:iCs/>
        </w:rPr>
        <w:t xml:space="preserve">Medical Image Analysis</w:t>
      </w:r>
      <w:r>
        <w:t xml:space="preserve"> </w:t>
      </w:r>
      <w:r>
        <w:t xml:space="preserve">86: 102789.</w:t>
      </w:r>
      <w:r>
        <w:t xml:space="preserve"> </w:t>
      </w:r>
      <w:hyperlink r:id="rId69">
        <w:r>
          <w:rPr>
            <w:rStyle w:val="Hyperlink"/>
          </w:rPr>
          <w:t xml:space="preserve">https://doi.org/10.1016/j.media.2023.102789</w:t>
        </w:r>
      </w:hyperlink>
      <w:r>
        <w:t xml:space="preserve">.</w:t>
      </w:r>
    </w:p>
    <w:bookmarkEnd w:id="70"/>
    <w:bookmarkStart w:id="72" w:name="ref-carass2017isbi"/>
    <w:p>
      <w:pPr>
        <w:pStyle w:val="Bibliography"/>
      </w:pPr>
      <w:r>
        <w:t xml:space="preserve">Carass, Aaron, Snehashis Roy, Amod Jog, et al.</w:t>
      </w:r>
      <w:r>
        <w:t xml:space="preserve"> 2017.</w:t>
      </w:r>
      <w:r>
        <w:t xml:space="preserve"> </w:t>
      </w:r>
      <w:r>
        <w:t xml:space="preserve">‘Longitudinal Multiple Sclerosis Lesion Segmentation: Resource and Challenge’</w:t>
      </w:r>
      <w:r>
        <w:t xml:space="preserve">.</w:t>
      </w:r>
      <w:r>
        <w:t xml:space="preserve"> </w:t>
      </w:r>
      <w:r>
        <w:rPr>
          <w:i/>
          <w:iCs/>
        </w:rPr>
        <w:t xml:space="preserve">NeuroImage</w:t>
      </w:r>
      <w:r>
        <w:t xml:space="preserve"> </w:t>
      </w:r>
      <w:r>
        <w:t xml:space="preserve">148: 77–102.</w:t>
      </w:r>
      <w:r>
        <w:t xml:space="preserve"> </w:t>
      </w:r>
      <w:hyperlink r:id="rId71">
        <w:r>
          <w:rPr>
            <w:rStyle w:val="Hyperlink"/>
          </w:rPr>
          <w:t xml:space="preserve">https://doi.org/10.1016/j.neuroimage.2016.12.064</w:t>
        </w:r>
      </w:hyperlink>
      <w:r>
        <w:t xml:space="preserve">.</w:t>
      </w:r>
    </w:p>
    <w:bookmarkEnd w:id="72"/>
    <w:bookmarkStart w:id="74" w:name="ref-cerri2021samseg"/>
    <w:p>
      <w:pPr>
        <w:pStyle w:val="Bibliography"/>
      </w:pPr>
      <w:r>
        <w:t xml:space="preserve">Cerri, Stefano, Oula Puonti, Dominik S. Meier, et al. 2021.</w:t>
      </w:r>
      <w:r>
        <w:t xml:space="preserve"> </w:t>
      </w:r>
      <w:r>
        <w:t xml:space="preserve">‘A Contrast-Adaptive Method for Simultaneous Whole-Brain and Lesion Segmentation in Multiple Sclerosis’</w:t>
      </w:r>
      <w:r>
        <w:t xml:space="preserve">.</w:t>
      </w:r>
      <w:r>
        <w:t xml:space="preserve"> </w:t>
      </w:r>
      <w:r>
        <w:rPr>
          <w:i/>
          <w:iCs/>
        </w:rPr>
        <w:t xml:space="preserve">NeuroImage</w:t>
      </w:r>
      <w:r>
        <w:t xml:space="preserve"> </w:t>
      </w:r>
      <w:r>
        <w:t xml:space="preserve">225: 117471.</w:t>
      </w:r>
      <w:r>
        <w:t xml:space="preserve"> </w:t>
      </w:r>
      <w:hyperlink r:id="rId73">
        <w:r>
          <w:rPr>
            <w:rStyle w:val="Hyperlink"/>
          </w:rPr>
          <w:t xml:space="preserve">https://doi.org/10.1016/j.neuroimage.2020.117471</w:t>
        </w:r>
      </w:hyperlink>
      <w:r>
        <w:t xml:space="preserve">.</w:t>
      </w:r>
    </w:p>
    <w:bookmarkEnd w:id="74"/>
    <w:bookmarkStart w:id="76" w:name="ref-commowick2018msseg"/>
    <w:p>
      <w:pPr>
        <w:pStyle w:val="Bibliography"/>
      </w:pPr>
      <w:r>
        <w:t xml:space="preserve">Commowick, Olivier, Audrey Istace, Michaël Kain, et al.</w:t>
      </w:r>
      <w:r>
        <w:t xml:space="preserve"> 2018.</w:t>
      </w:r>
      <w:r>
        <w:t xml:space="preserve"> </w:t>
      </w:r>
      <w:r>
        <w:t xml:space="preserve">‘Objective Evaluation of Multiple Sclerosis Lesion Segmentation Using a Data Management and Processing Infrastructure’</w:t>
      </w:r>
      <w:r>
        <w:t xml:space="preserve">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8 (1): 13650.</w:t>
      </w:r>
      <w:r>
        <w:t xml:space="preserve"> </w:t>
      </w:r>
      <w:hyperlink r:id="rId75">
        <w:r>
          <w:rPr>
            <w:rStyle w:val="Hyperlink"/>
          </w:rPr>
          <w:t xml:space="preserve">https://doi.org/10.1038/s41598-018-31911-7</w:t>
        </w:r>
      </w:hyperlink>
      <w:r>
        <w:t xml:space="preserve">.</w:t>
      </w:r>
    </w:p>
    <w:bookmarkEnd w:id="76"/>
    <w:bookmarkStart w:id="78" w:name="ref-commowick2021msseg"/>
    <w:p>
      <w:pPr>
        <w:pStyle w:val="Bibliography"/>
      </w:pPr>
      <w:r>
        <w:t xml:space="preserve">Commowick, Olivier, Michaël Kain, Romain Casey, et al.</w:t>
      </w:r>
      <w:r>
        <w:t xml:space="preserve"> 2021.</w:t>
      </w:r>
      <w:r>
        <w:t xml:space="preserve"> </w:t>
      </w:r>
      <w:r>
        <w:t xml:space="preserve">‘Multiple Sclerosis Lesions Segmentation from Multiple Experts: The</w:t>
      </w:r>
      <w:r>
        <w:t xml:space="preserve"> </w:t>
      </w:r>
      <w:r>
        <w:t xml:space="preserve">MICCAI</w:t>
      </w:r>
      <w:r>
        <w:t xml:space="preserve"> </w:t>
      </w:r>
      <w:r>
        <w:t xml:space="preserve">2016 Challenge Dataset’</w:t>
      </w:r>
      <w:r>
        <w:t xml:space="preserve">.</w:t>
      </w:r>
      <w:r>
        <w:t xml:space="preserve"> </w:t>
      </w:r>
      <w:r>
        <w:rPr>
          <w:i/>
          <w:iCs/>
        </w:rPr>
        <w:t xml:space="preserve">NeuroImage</w:t>
      </w:r>
      <w:r>
        <w:t xml:space="preserve"> </w:t>
      </w:r>
      <w:r>
        <w:t xml:space="preserve">244: 118589.</w:t>
      </w:r>
      <w:r>
        <w:t xml:space="preserve"> </w:t>
      </w:r>
      <w:hyperlink r:id="rId77">
        <w:r>
          <w:rPr>
            <w:rStyle w:val="Hyperlink"/>
          </w:rPr>
          <w:t xml:space="preserve">https://doi.org/10.1016/j.neuroimage.2021.118589</w:t>
        </w:r>
      </w:hyperlink>
      <w:r>
        <w:t xml:space="preserve">.</w:t>
      </w:r>
    </w:p>
    <w:bookmarkEnd w:id="78"/>
    <w:bookmarkStart w:id="80" w:name="ref-dereskewicz2025flames"/>
    <w:p>
      <w:pPr>
        <w:pStyle w:val="Bibliography"/>
      </w:pPr>
      <w:r>
        <w:t xml:space="preserve">Dereskewicz, Emma, Francesco La Rosa, Jonadab Dos Santos Silva, et al.</w:t>
      </w:r>
      <w:r>
        <w:t xml:space="preserve"> 2025.</w:t>
      </w:r>
      <w:r>
        <w:t xml:space="preserve"> </w:t>
      </w:r>
      <w:r>
        <w:t xml:space="preserve">‘A Novel Convolutional Neural Network for Automated Multiple Sclerosis Brain Lesion Segmentation’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Neuroimaging</w:t>
      </w:r>
      <w:r>
        <w:t xml:space="preserve"> </w:t>
      </w:r>
      <w:r>
        <w:t xml:space="preserve">35 (5): e70085.</w:t>
      </w:r>
      <w:r>
        <w:t xml:space="preserve"> </w:t>
      </w:r>
      <w:hyperlink r:id="rId79">
        <w:r>
          <w:rPr>
            <w:rStyle w:val="Hyperlink"/>
          </w:rPr>
          <w:t xml:space="preserve">https://doi.org/10.1111/jon.70085</w:t>
        </w:r>
      </w:hyperlink>
      <w:r>
        <w:t xml:space="preserve">.</w:t>
      </w:r>
    </w:p>
    <w:bookmarkEnd w:id="80"/>
    <w:bookmarkStart w:id="82" w:name="ref-dereskewicz2025flamespreprint"/>
    <w:p>
      <w:pPr>
        <w:pStyle w:val="Bibliography"/>
      </w:pPr>
      <w:r>
        <w:t xml:space="preserve">Dereskewicz, Emma, Francesco La Rosa, Jonadab dos Santos Silva, et al.</w:t>
      </w:r>
      <w:r>
        <w:t xml:space="preserve"> 2025.</w:t>
      </w:r>
      <w:r>
        <w:t xml:space="preserve"> </w:t>
      </w:r>
      <w:r>
        <w:rPr>
          <w:i/>
          <w:iCs/>
        </w:rPr>
        <w:t xml:space="preserve">FLAMeS</w:t>
      </w:r>
      <w:r>
        <w:rPr>
          <w:i/>
          <w:iCs/>
        </w:rPr>
        <w:t xml:space="preserve">: A Robust Deep Learning Model for Automated Multiple Sclerosis Lesion Segmentation</w:t>
      </w:r>
      <w:r>
        <w:t xml:space="preserve">. medRxiv preprint.</w:t>
      </w:r>
      <w:r>
        <w:t xml:space="preserve"> </w:t>
      </w:r>
      <w:hyperlink r:id="rId81">
        <w:r>
          <w:rPr>
            <w:rStyle w:val="Hyperlink"/>
          </w:rPr>
          <w:t xml:space="preserve">https://doi.org/10.1101/2025.05.19.25327707</w:t>
        </w:r>
      </w:hyperlink>
      <w:r>
        <w:t xml:space="preserve">.</w:t>
      </w:r>
    </w:p>
    <w:bookmarkEnd w:id="82"/>
    <w:bookmarkStart w:id="84" w:name="ref-dice1945"/>
    <w:p>
      <w:pPr>
        <w:pStyle w:val="Bibliography"/>
      </w:pPr>
      <w:r>
        <w:t xml:space="preserve">Dice, Lee R. 1945.</w:t>
      </w:r>
      <w:r>
        <w:t xml:space="preserve"> </w:t>
      </w:r>
      <w:r>
        <w:t xml:space="preserve">‘Measures of the Amount of Ecologic Association Between Species’</w:t>
      </w:r>
      <w:r>
        <w:t xml:space="preserve">.</w:t>
      </w:r>
      <w:r>
        <w:t xml:space="preserve"> </w:t>
      </w:r>
      <w:r>
        <w:rPr>
          <w:i/>
          <w:iCs/>
        </w:rPr>
        <w:t xml:space="preserve">Ecology</w:t>
      </w:r>
      <w:r>
        <w:t xml:space="preserve"> </w:t>
      </w:r>
      <w:r>
        <w:t xml:space="preserve">26 (3): 297–302.</w:t>
      </w:r>
      <w:r>
        <w:t xml:space="preserve"> </w:t>
      </w:r>
      <w:hyperlink r:id="rId83">
        <w:r>
          <w:rPr>
            <w:rStyle w:val="Hyperlink"/>
          </w:rPr>
          <w:t xml:space="preserve">https://doi.org/10.2307/1932409</w:t>
        </w:r>
      </w:hyperlink>
      <w:r>
        <w:t xml:space="preserve">.</w:t>
      </w:r>
    </w:p>
    <w:bookmarkEnd w:id="84"/>
    <w:bookmarkStart w:id="85" w:name="ref-efron1993bootstrap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Chapman &amp; Hall.</w:t>
      </w:r>
    </w:p>
    <w:bookmarkEnd w:id="85"/>
    <w:bookmarkStart w:id="87" w:name="ref-field2007clustered"/>
    <w:p>
      <w:pPr>
        <w:pStyle w:val="Bibliography"/>
      </w:pPr>
      <w:r>
        <w:t xml:space="preserve">Field, C. A., and A. H. Welsh. 2007.</w:t>
      </w:r>
      <w:r>
        <w:t xml:space="preserve"> </w:t>
      </w:r>
      <w:r>
        <w:t xml:space="preserve">‘Bootstrapping Clustered Data’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Royal Statistical Society Series B: Statistical Methodology</w:t>
      </w:r>
      <w:r>
        <w:t xml:space="preserve"> </w:t>
      </w:r>
      <w:r>
        <w:t xml:space="preserve">69 (3): 369–90.</w:t>
      </w:r>
      <w:r>
        <w:t xml:space="preserve"> </w:t>
      </w:r>
      <w:hyperlink r:id="rId86">
        <w:r>
          <w:rPr>
            <w:rStyle w:val="Hyperlink"/>
          </w:rPr>
          <w:t xml:space="preserve">https://doi.org/10.1111/j.1467-9868.2007.00593.x</w:t>
        </w:r>
      </w:hyperlink>
      <w:r>
        <w:t xml:space="preserve">.</w:t>
      </w:r>
    </w:p>
    <w:bookmarkEnd w:id="87"/>
    <w:bookmarkStart w:id="89" w:name="ref-filippi2019lesions"/>
    <w:p>
      <w:pPr>
        <w:pStyle w:val="Bibliography"/>
      </w:pPr>
      <w:r>
        <w:t xml:space="preserve">Filippi, Massimo, Paolo Preziosa, Brenda L. Banwell, et al.</w:t>
      </w:r>
      <w:r>
        <w:t xml:space="preserve"> 2019.</w:t>
      </w:r>
      <w:r>
        <w:t xml:space="preserve"> </w:t>
      </w:r>
      <w:r>
        <w:t xml:space="preserve">‘Assessment of Lesions on Magnetic Resonance Imaging in Multiple Sclerosis: Practical Guidelines’</w:t>
      </w:r>
      <w:r>
        <w:t xml:space="preserve">.</w:t>
      </w:r>
      <w:r>
        <w:t xml:space="preserve"> </w:t>
      </w:r>
      <w:r>
        <w:rPr>
          <w:i/>
          <w:iCs/>
        </w:rPr>
        <w:t xml:space="preserve">Brain</w:t>
      </w:r>
      <w:r>
        <w:t xml:space="preserve"> </w:t>
      </w:r>
      <w:r>
        <w:t xml:space="preserve">142 (7): 1858–75.</w:t>
      </w:r>
      <w:r>
        <w:t xml:space="preserve"> </w:t>
      </w:r>
      <w:hyperlink r:id="rId88">
        <w:r>
          <w:rPr>
            <w:rStyle w:val="Hyperlink"/>
          </w:rPr>
          <w:t xml:space="preserve">https://doi.org/10.1093/brain/awz144</w:t>
        </w:r>
      </w:hyperlink>
      <w:r>
        <w:t xml:space="preserve">.</w:t>
      </w:r>
    </w:p>
    <w:bookmarkEnd w:id="89"/>
    <w:bookmarkStart w:id="91" w:name="ref-fischl2012freesurfer"/>
    <w:p>
      <w:pPr>
        <w:pStyle w:val="Bibliography"/>
      </w:pPr>
      <w:r>
        <w:t xml:space="preserve">Fischl, Bruce. 2012.</w:t>
      </w:r>
      <w:r>
        <w:t xml:space="preserve"> </w:t>
      </w:r>
      <w:r>
        <w:t xml:space="preserve">‘</w:t>
      </w:r>
      <w:r>
        <w:t xml:space="preserve">FreeSurfer</w:t>
      </w:r>
      <w:r>
        <w:t xml:space="preserve">’</w:t>
      </w:r>
      <w:r>
        <w:t xml:space="preserve">.</w:t>
      </w:r>
      <w:r>
        <w:t xml:space="preserve"> </w:t>
      </w:r>
      <w:r>
        <w:rPr>
          <w:i/>
          <w:iCs/>
        </w:rPr>
        <w:t xml:space="preserve">NeuroImage</w:t>
      </w:r>
      <w:r>
        <w:t xml:space="preserve"> </w:t>
      </w:r>
      <w:r>
        <w:t xml:space="preserve">62 (2): 774–81.</w:t>
      </w:r>
      <w:r>
        <w:t xml:space="preserve"> </w:t>
      </w:r>
      <w:hyperlink r:id="rId90">
        <w:r>
          <w:rPr>
            <w:rStyle w:val="Hyperlink"/>
          </w:rPr>
          <w:t xml:space="preserve">https://doi.org/10.1016/j.neuroimage.2012.01.021</w:t>
        </w:r>
      </w:hyperlink>
      <w:r>
        <w:t xml:space="preserve">.</w:t>
      </w:r>
    </w:p>
    <w:bookmarkEnd w:id="91"/>
    <w:bookmarkStart w:id="93" w:name="ref-goebl2025mindglide"/>
    <w:p>
      <w:pPr>
        <w:pStyle w:val="Bibliography"/>
      </w:pPr>
      <w:r>
        <w:t xml:space="preserve">Goebl, Philipp, Jed Wingrove, Omar Abdelmannan, et al.</w:t>
      </w:r>
      <w:r>
        <w:t xml:space="preserve"> 2025.</w:t>
      </w:r>
      <w:r>
        <w:t xml:space="preserve"> </w:t>
      </w:r>
      <w:r>
        <w:t xml:space="preserve">‘Enabling New Insights from Old Scans by Repurposing Clinical</w:t>
      </w:r>
      <w:r>
        <w:t xml:space="preserve"> </w:t>
      </w:r>
      <w:r>
        <w:t xml:space="preserve">MRI</w:t>
      </w:r>
      <w:r>
        <w:t xml:space="preserve"> </w:t>
      </w:r>
      <w:r>
        <w:t xml:space="preserve">Archives for Multiple Sclerosis Research’</w:t>
      </w:r>
      <w:r>
        <w:t xml:space="preserve">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16 (1): 3149.</w:t>
      </w:r>
      <w:r>
        <w:t xml:space="preserve"> </w:t>
      </w:r>
      <w:hyperlink r:id="rId92">
        <w:r>
          <w:rPr>
            <w:rStyle w:val="Hyperlink"/>
          </w:rPr>
          <w:t xml:space="preserve">https://doi.org/10.1038/s41467-025-58274-8</w:t>
        </w:r>
      </w:hyperlink>
      <w:r>
        <w:t xml:space="preserve">.</w:t>
      </w:r>
    </w:p>
    <w:bookmarkEnd w:id="93"/>
    <w:bookmarkStart w:id="95" w:name="ref-guarnera2025mslessegdata"/>
    <w:p>
      <w:pPr>
        <w:pStyle w:val="Bibliography"/>
      </w:pPr>
      <w:r>
        <w:t xml:space="preserve">Guarnera, Francesco, Alessia Rondinella, Elena Crispino, et al. 2025a.</w:t>
      </w:r>
      <w:r>
        <w:t xml:space="preserve"> </w:t>
      </w:r>
      <w:r>
        <w:rPr>
          <w:i/>
          <w:iCs/>
        </w:rPr>
        <w:t xml:space="preserve">MSLesSeg</w:t>
      </w:r>
      <w:r>
        <w:rPr>
          <w:i/>
          <w:iCs/>
        </w:rPr>
        <w:t xml:space="preserve">: Baseline and Benchmarking of a New Multiple Sclerosis Lesion Segmentation Dataset</w:t>
      </w:r>
      <w:r>
        <w:t xml:space="preserve">. Figshare.</w:t>
      </w:r>
      <w:r>
        <w:t xml:space="preserve"> </w:t>
      </w:r>
      <w:hyperlink r:id="rId94">
        <w:r>
          <w:rPr>
            <w:rStyle w:val="Hyperlink"/>
          </w:rPr>
          <w:t xml:space="preserve">https://doi.org/10.6084/m9.figshare.27919209</w:t>
        </w:r>
      </w:hyperlink>
      <w:r>
        <w:t xml:space="preserve">.</w:t>
      </w:r>
    </w:p>
    <w:bookmarkEnd w:id="95"/>
    <w:bookmarkStart w:id="97" w:name="ref-guarnera2025mslesseg"/>
    <w:p>
      <w:pPr>
        <w:pStyle w:val="Bibliography"/>
      </w:pPr>
      <w:r>
        <w:t xml:space="preserve">Guarnera, Francesco, Alessia Rondinella, Elena Crispino, et al. 2025b.</w:t>
      </w:r>
      <w:r>
        <w:t xml:space="preserve"> </w:t>
      </w:r>
      <w:r>
        <w:t xml:space="preserve">‘</w:t>
      </w:r>
      <w:r>
        <w:t xml:space="preserve">MSLesSeg</w:t>
      </w:r>
      <w:r>
        <w:t xml:space="preserve">: Baseline and Benchmarking of a New Multiple Sclerosis Lesion Segmentation Dataset’</w:t>
      </w:r>
      <w:r>
        <w:t xml:space="preserve">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12 (1): 920.</w:t>
      </w:r>
      <w:r>
        <w:t xml:space="preserve"> </w:t>
      </w:r>
      <w:hyperlink r:id="rId96">
        <w:r>
          <w:rPr>
            <w:rStyle w:val="Hyperlink"/>
          </w:rPr>
          <w:t xml:space="preserve">https://doi.org/10.1038/s41597-025-05250-y</w:t>
        </w:r>
      </w:hyperlink>
      <w:r>
        <w:t xml:space="preserve">.</w:t>
      </w:r>
    </w:p>
    <w:bookmarkEnd w:id="97"/>
    <w:bookmarkStart w:id="99" w:name="ref-hanley1982auc"/>
    <w:p>
      <w:pPr>
        <w:pStyle w:val="Bibliography"/>
      </w:pPr>
      <w:r>
        <w:t xml:space="preserve">Hanley, J. A., and B. J. McNeil. 1982.</w:t>
      </w:r>
      <w:r>
        <w:t xml:space="preserve"> </w:t>
      </w:r>
      <w:r>
        <w:t xml:space="preserve">‘The Meaning and Use of the Area Under a Receiver Operating Characteristic (</w:t>
      </w:r>
      <w:r>
        <w:t xml:space="preserve">ROC</w:t>
      </w:r>
      <w:r>
        <w:t xml:space="preserve">) Curve’</w:t>
      </w:r>
      <w:r>
        <w:t xml:space="preserve">.</w:t>
      </w:r>
      <w:r>
        <w:t xml:space="preserve"> </w:t>
      </w:r>
      <w:r>
        <w:rPr>
          <w:i/>
          <w:iCs/>
        </w:rPr>
        <w:t xml:space="preserve">Radiology</w:t>
      </w:r>
      <w:r>
        <w:t xml:space="preserve"> </w:t>
      </w:r>
      <w:r>
        <w:t xml:space="preserve">143 (1): 29–36.</w:t>
      </w:r>
      <w:r>
        <w:t xml:space="preserve"> </w:t>
      </w:r>
      <w:hyperlink r:id="rId98">
        <w:r>
          <w:rPr>
            <w:rStyle w:val="Hyperlink"/>
          </w:rPr>
          <w:t xml:space="preserve">https://doi.org/10.1148/radiology.143.1.7063747</w:t>
        </w:r>
      </w:hyperlink>
      <w:r>
        <w:t xml:space="preserve">.</w:t>
      </w:r>
    </w:p>
    <w:bookmarkEnd w:id="99"/>
    <w:bookmarkStart w:id="101" w:name="ref-holm1979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‘A Simple Sequentially Rejective Multiple Test Procedure’</w:t>
      </w:r>
      <w:r>
        <w:t xml:space="preserve">.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6: 65–70.</w:t>
      </w:r>
      <w:r>
        <w:t xml:space="preserve"> </w:t>
      </w:r>
      <w:hyperlink r:id="rId100">
        <w:r>
          <w:rPr>
            <w:rStyle w:val="Hyperlink"/>
          </w:rPr>
          <w:t xml:space="preserve">https://www.jstor.org/stable/4615733</w:t>
        </w:r>
      </w:hyperlink>
      <w:r>
        <w:t xml:space="preserve">.</w:t>
      </w:r>
    </w:p>
    <w:bookmarkEnd w:id="101"/>
    <w:bookmarkStart w:id="103" w:name="ref-hoopes2022synthstrip"/>
    <w:p>
      <w:pPr>
        <w:pStyle w:val="Bibliography"/>
      </w:pPr>
      <w:r>
        <w:t xml:space="preserve">Hoopes, Andrew, Jocelyn S. Mora, Adrian V. Dalca, Bruce Fischl, and Malte Hoffmann. 2022.</w:t>
      </w:r>
      <w:r>
        <w:t xml:space="preserve"> </w:t>
      </w:r>
      <w:r>
        <w:t xml:space="preserve">‘</w:t>
      </w:r>
      <w:r>
        <w:t xml:space="preserve">SynthStrip</w:t>
      </w:r>
      <w:r>
        <w:t xml:space="preserve">: Skull-Stripping for Any Brain Image’</w:t>
      </w:r>
      <w:r>
        <w:t xml:space="preserve">.</w:t>
      </w:r>
      <w:r>
        <w:t xml:space="preserve"> </w:t>
      </w:r>
      <w:r>
        <w:rPr>
          <w:i/>
          <w:iCs/>
        </w:rPr>
        <w:t xml:space="preserve">NeuroImage</w:t>
      </w:r>
      <w:r>
        <w:t xml:space="preserve"> </w:t>
      </w:r>
      <w:r>
        <w:t xml:space="preserve">260: 119474.</w:t>
      </w:r>
      <w:r>
        <w:t xml:space="preserve"> </w:t>
      </w:r>
      <w:hyperlink r:id="rId102">
        <w:r>
          <w:rPr>
            <w:rStyle w:val="Hyperlink"/>
          </w:rPr>
          <w:t xml:space="preserve">https://doi.org/10.1016/j.neuroimage.2022.119474</w:t>
        </w:r>
      </w:hyperlink>
      <w:r>
        <w:t xml:space="preserve">.</w:t>
      </w:r>
    </w:p>
    <w:bookmarkEnd w:id="103"/>
    <w:bookmarkStart w:id="105" w:name="ref-iglesias2023synthsr"/>
    <w:p>
      <w:pPr>
        <w:pStyle w:val="Bibliography"/>
      </w:pPr>
      <w:r>
        <w:t xml:space="preserve">Iglesias, Juan E., Benjamin Billot, Yaël Balbastre, et al. 2023.</w:t>
      </w:r>
      <w:r>
        <w:t xml:space="preserve"> </w:t>
      </w:r>
      <w:r>
        <w:t xml:space="preserve">‘</w:t>
      </w:r>
      <w:r>
        <w:t xml:space="preserve">SynthSR</w:t>
      </w:r>
      <w:r>
        <w:t xml:space="preserve">: A Public</w:t>
      </w:r>
      <w:r>
        <w:t xml:space="preserve"> </w:t>
      </w:r>
      <w:r>
        <w:t xml:space="preserve">AI</w:t>
      </w:r>
      <w:r>
        <w:t xml:space="preserve"> </w:t>
      </w:r>
      <w:r>
        <w:t xml:space="preserve">Tool to Turn Heterogeneous Clinical Brain Scans into High-Resolution</w:t>
      </w:r>
      <w:r>
        <w:t xml:space="preserve"> </w:t>
      </w:r>
      <w:r>
        <w:t xml:space="preserve">T1</w:t>
      </w:r>
      <w:r>
        <w:t xml:space="preserve">-Weighted Images for</w:t>
      </w:r>
      <w:r>
        <w:t xml:space="preserve"> </w:t>
      </w:r>
      <w:r>
        <w:t xml:space="preserve">3D</w:t>
      </w:r>
      <w:r>
        <w:t xml:space="preserve"> </w:t>
      </w:r>
      <w:r>
        <w:t xml:space="preserve">Morphometry’</w:t>
      </w:r>
      <w:r>
        <w:t xml:space="preserve">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 </w:t>
      </w:r>
      <w:r>
        <w:t xml:space="preserve">9 (5): eadd3607.</w:t>
      </w:r>
      <w:r>
        <w:t xml:space="preserve"> </w:t>
      </w:r>
      <w:hyperlink r:id="rId104">
        <w:r>
          <w:rPr>
            <w:rStyle w:val="Hyperlink"/>
          </w:rPr>
          <w:t xml:space="preserve">https://doi.org/10.1126/sciadv.add3607</w:t>
        </w:r>
      </w:hyperlink>
      <w:r>
        <w:t xml:space="preserve">.</w:t>
      </w:r>
    </w:p>
    <w:bookmarkEnd w:id="105"/>
    <w:bookmarkStart w:id="107" w:name="ref-isensee2021nnunet"/>
    <w:p>
      <w:pPr>
        <w:pStyle w:val="Bibliography"/>
      </w:pPr>
      <w:r>
        <w:t xml:space="preserve">Isensee, Fabian, Paul F. Jaeger, Simon A. A. Kohl, Jens Petersen, and Klaus H. Maier-Hein. 2021.</w:t>
      </w:r>
      <w:r>
        <w:t xml:space="preserve"> </w:t>
      </w:r>
      <w:r>
        <w:t xml:space="preserve">‘</w:t>
      </w:r>
      <w:r>
        <w:t xml:space="preserve">nnU-Net</w:t>
      </w:r>
      <w:r>
        <w:t xml:space="preserve">: A Self-Configuring Method for Deep Learning-Based Biomedical Image Segmentation’</w:t>
      </w:r>
      <w:r>
        <w:t xml:space="preserve">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18 (2): 203–11.</w:t>
      </w:r>
      <w:r>
        <w:t xml:space="preserve"> </w:t>
      </w:r>
      <w:hyperlink r:id="rId106">
        <w:r>
          <w:rPr>
            <w:rStyle w:val="Hyperlink"/>
          </w:rPr>
          <w:t xml:space="preserve">https://doi.org/10.1038/s41592-020-01008-z</w:t>
        </w:r>
      </w:hyperlink>
      <w:r>
        <w:t xml:space="preserve">.</w:t>
      </w:r>
    </w:p>
    <w:bookmarkEnd w:id="107"/>
    <w:bookmarkStart w:id="109" w:name="ref-isensee2019hdbet"/>
    <w:p>
      <w:pPr>
        <w:pStyle w:val="Bibliography"/>
      </w:pPr>
      <w:r>
        <w:t xml:space="preserve">Isensee, Fabian, Marianne Schell, Irada Pflueger, et al.</w:t>
      </w:r>
      <w:r>
        <w:t xml:space="preserve"> 2019.</w:t>
      </w:r>
      <w:r>
        <w:t xml:space="preserve"> </w:t>
      </w:r>
      <w:r>
        <w:t xml:space="preserve">‘Automated Brain Extraction of Multisequence</w:t>
      </w:r>
      <w:r>
        <w:t xml:space="preserve"> </w:t>
      </w:r>
      <w:r>
        <w:t xml:space="preserve">MRI</w:t>
      </w:r>
      <w:r>
        <w:t xml:space="preserve"> </w:t>
      </w:r>
      <w:r>
        <w:t xml:space="preserve">Using Artificial Neural Networks’</w:t>
      </w:r>
      <w:r>
        <w:t xml:space="preserve">.</w:t>
      </w:r>
      <w:r>
        <w:t xml:space="preserve"> </w:t>
      </w:r>
      <w:r>
        <w:rPr>
          <w:i/>
          <w:iCs/>
        </w:rPr>
        <w:t xml:space="preserve">Human Brain Mapping</w:t>
      </w:r>
      <w:r>
        <w:t xml:space="preserve"> </w:t>
      </w:r>
      <w:r>
        <w:t xml:space="preserve">40 (17): 4952–64.</w:t>
      </w:r>
      <w:r>
        <w:t xml:space="preserve"> </w:t>
      </w:r>
      <w:hyperlink r:id="rId108">
        <w:r>
          <w:rPr>
            <w:rStyle w:val="Hyperlink"/>
          </w:rPr>
          <w:t xml:space="preserve">https://doi.org/10.1002/hbm.24750</w:t>
        </w:r>
      </w:hyperlink>
      <w:r>
        <w:t xml:space="preserve">.</w:t>
      </w:r>
    </w:p>
    <w:bookmarkEnd w:id="109"/>
    <w:bookmarkStart w:id="111" w:name="ref-kapoor2023leakage"/>
    <w:p>
      <w:pPr>
        <w:pStyle w:val="Bibliography"/>
      </w:pPr>
      <w:r>
        <w:t xml:space="preserve">Kapoor, Sayash, and Arvind Narayanan. 2023.</w:t>
      </w:r>
      <w:r>
        <w:t xml:space="preserve"> </w:t>
      </w:r>
      <w:r>
        <w:t xml:space="preserve">‘Leakage and the Reproducibility Crisis in Machine-Learning-Based Science’</w:t>
      </w:r>
      <w:r>
        <w:t xml:space="preserve">.</w:t>
      </w:r>
      <w:r>
        <w:t xml:space="preserve"> </w:t>
      </w:r>
      <w:r>
        <w:rPr>
          <w:i/>
          <w:iCs/>
        </w:rPr>
        <w:t xml:space="preserve">Patterns</w:t>
      </w:r>
      <w:r>
        <w:t xml:space="preserve"> </w:t>
      </w:r>
      <w:r>
        <w:t xml:space="preserve">4 (9): 100804.</w:t>
      </w:r>
      <w:r>
        <w:t xml:space="preserve"> </w:t>
      </w:r>
      <w:hyperlink r:id="rId110">
        <w:r>
          <w:rPr>
            <w:rStyle w:val="Hyperlink"/>
          </w:rPr>
          <w:t xml:space="preserve">https://doi.org/10.1016/j.patter.2023.100804</w:t>
        </w:r>
      </w:hyperlink>
      <w:r>
        <w:t xml:space="preserve">.</w:t>
      </w:r>
    </w:p>
    <w:bookmarkEnd w:id="111"/>
    <w:bookmarkStart w:id="113" w:name="ref-larosa2025flameszenodo"/>
    <w:p>
      <w:pPr>
        <w:pStyle w:val="Bibliography"/>
      </w:pPr>
      <w:r>
        <w:t xml:space="preserve">La Rosa, Francesco. 2025.</w:t>
      </w:r>
      <w:r>
        <w:t xml:space="preserve"> </w:t>
      </w:r>
      <w:r>
        <w:rPr>
          <w:i/>
          <w:iCs/>
        </w:rPr>
        <w:t xml:space="preserve">FLAMeS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FLAIR</w:t>
      </w:r>
      <w:r>
        <w:rPr>
          <w:i/>
          <w:iCs/>
        </w:rPr>
        <w:t xml:space="preserve"> </w:t>
      </w:r>
      <w:r>
        <w:rPr>
          <w:i/>
          <w:iCs/>
        </w:rPr>
        <w:t xml:space="preserve">Lesion Analysis in Multiple Sclerosis</w:t>
      </w:r>
      <w:r>
        <w:t xml:space="preserve">. Version 2.0. Zenodo.</w:t>
      </w:r>
      <w:r>
        <w:t xml:space="preserve"> </w:t>
      </w:r>
      <w:hyperlink r:id="rId112">
        <w:r>
          <w:rPr>
            <w:rStyle w:val="Hyperlink"/>
          </w:rPr>
          <w:t xml:space="preserve">https://doi.org/10.5281/zenodo.17955359</w:t>
        </w:r>
      </w:hyperlink>
      <w:r>
        <w:t xml:space="preserve">.</w:t>
      </w:r>
    </w:p>
    <w:bookmarkEnd w:id="113"/>
    <w:bookmarkStart w:id="115" w:name="ref-laso2024wmhsynthseg"/>
    <w:p>
      <w:pPr>
        <w:pStyle w:val="Bibliography"/>
      </w:pPr>
      <w:r>
        <w:t xml:space="preserve">Laso, Pablo, Stefano Cerri, Annabel Sorby-Adams, et al.</w:t>
      </w:r>
      <w:r>
        <w:t xml:space="preserve"> 2024.</w:t>
      </w:r>
      <w:r>
        <w:t xml:space="preserve"> </w:t>
      </w:r>
      <w:r>
        <w:t xml:space="preserve">‘Quantifying White Matter Hyperintensity and Brain Volumes in Heterogeneous Clinical and Low-Field Portable</w:t>
      </w:r>
      <w:r>
        <w:t xml:space="preserve"> </w:t>
      </w:r>
      <w:r>
        <w:t xml:space="preserve">MRI</w:t>
      </w:r>
      <w:r>
        <w:t xml:space="preserve">’</w:t>
      </w:r>
      <w:r>
        <w:t xml:space="preserve">.</w:t>
      </w:r>
      <w:r>
        <w:t xml:space="preserve"> </w:t>
      </w:r>
      <w:r>
        <w:rPr>
          <w:i/>
          <w:iCs/>
        </w:rPr>
        <w:t xml:space="preserve">2024 IEEE International Symposium on Biomedical Imaging (ISBI)</w:t>
      </w:r>
      <w:r>
        <w:t xml:space="preserve"> </w:t>
      </w:r>
      <w:r>
        <w:t xml:space="preserve">(Athens, Greece), 1–5.</w:t>
      </w:r>
      <w:r>
        <w:t xml:space="preserve"> </w:t>
      </w:r>
      <w:hyperlink r:id="rId114">
        <w:r>
          <w:rPr>
            <w:rStyle w:val="Hyperlink"/>
          </w:rPr>
          <w:t xml:space="preserve">https://doi.org/10.1109/ISBI56570.2024.10635502</w:t>
        </w:r>
      </w:hyperlink>
      <w:r>
        <w:t xml:space="preserve">.</w:t>
      </w:r>
    </w:p>
    <w:bookmarkEnd w:id="115"/>
    <w:bookmarkStart w:id="117" w:name="ref-lesjak2018ljubljana"/>
    <w:p>
      <w:pPr>
        <w:pStyle w:val="Bibliography"/>
      </w:pPr>
      <w:r>
        <w:t xml:space="preserve">Lesjak, Žiga, Alfiia Galimzianova, Aleš Koren, et al. 2018.</w:t>
      </w:r>
      <w:r>
        <w:t xml:space="preserve"> </w:t>
      </w:r>
      <w:r>
        <w:t xml:space="preserve">‘A Novel Public</w:t>
      </w:r>
      <w:r>
        <w:t xml:space="preserve"> </w:t>
      </w:r>
      <w:r>
        <w:t xml:space="preserve">MR</w:t>
      </w:r>
      <w:r>
        <w:t xml:space="preserve"> </w:t>
      </w:r>
      <w:r>
        <w:t xml:space="preserve">Image Dataset of Multiple Sclerosis Patients with Lesion Segmentations Based on Multi-Rater Consensus’</w:t>
      </w:r>
      <w:r>
        <w:t xml:space="preserve">.</w:t>
      </w:r>
      <w:r>
        <w:t xml:space="preserve"> </w:t>
      </w:r>
      <w:r>
        <w:rPr>
          <w:i/>
          <w:iCs/>
        </w:rPr>
        <w:t xml:space="preserve">Neuroinformatics</w:t>
      </w:r>
      <w:r>
        <w:t xml:space="preserve"> </w:t>
      </w:r>
      <w:r>
        <w:t xml:space="preserve">16 (1): 51–63.</w:t>
      </w:r>
      <w:r>
        <w:t xml:space="preserve"> </w:t>
      </w:r>
      <w:hyperlink r:id="rId116">
        <w:r>
          <w:rPr>
            <w:rStyle w:val="Hyperlink"/>
          </w:rPr>
          <w:t xml:space="preserve">https://doi.org/10.1007/s12021-017-9348-7</w:t>
        </w:r>
      </w:hyperlink>
      <w:r>
        <w:t xml:space="preserve">.</w:t>
      </w:r>
    </w:p>
    <w:bookmarkEnd w:id="117"/>
    <w:bookmarkStart w:id="119" w:name="ref-maierhein2024metrics"/>
    <w:p>
      <w:pPr>
        <w:pStyle w:val="Bibliography"/>
      </w:pPr>
      <w:r>
        <w:t xml:space="preserve">Maier-Hein, Lena, Annika Reinke, Patrick Godau, et al.</w:t>
      </w:r>
      <w:r>
        <w:t xml:space="preserve"> 2024.</w:t>
      </w:r>
      <w:r>
        <w:t xml:space="preserve"> </w:t>
      </w:r>
      <w:r>
        <w:t xml:space="preserve">‘Metrics Reloaded: Recommendations for Image Analysis Validation’</w:t>
      </w:r>
      <w:r>
        <w:t xml:space="preserve">.</w:t>
      </w:r>
      <w:r>
        <w:t xml:space="preserve"> </w:t>
      </w:r>
      <w:r>
        <w:rPr>
          <w:i/>
          <w:iCs/>
        </w:rPr>
        <w:t xml:space="preserve">Nature Methods</w:t>
      </w:r>
      <w:r>
        <w:t xml:space="preserve"> </w:t>
      </w:r>
      <w:r>
        <w:t xml:space="preserve">21 (2): 195–212.</w:t>
      </w:r>
      <w:r>
        <w:t xml:space="preserve"> </w:t>
      </w:r>
      <w:hyperlink r:id="rId118">
        <w:r>
          <w:rPr>
            <w:rStyle w:val="Hyperlink"/>
          </w:rPr>
          <w:t xml:space="preserve">https://doi.org/10.1038/s41592-023-02151-z</w:t>
        </w:r>
      </w:hyperlink>
      <w:r>
        <w:t xml:space="preserve">.</w:t>
      </w:r>
    </w:p>
    <w:bookmarkEnd w:id="119"/>
    <w:bookmarkStart w:id="121" w:name="ref-malinin2022shifts"/>
    <w:p>
      <w:pPr>
        <w:pStyle w:val="Bibliography"/>
      </w:pPr>
      <w:r>
        <w:t xml:space="preserve">Malinin, Andrey, Andreas Athanasopoulos, Muhamed Barakovic, et al.</w:t>
      </w:r>
      <w:r>
        <w:t xml:space="preserve"> 2022.</w:t>
      </w:r>
      <w:r>
        <w:t xml:space="preserve"> </w:t>
      </w:r>
      <w:r>
        <w:rPr>
          <w:i/>
          <w:iCs/>
        </w:rPr>
        <w:t xml:space="preserve">Shifts 2.0: Extending the Dataset of Real Distributional Shifts</w:t>
      </w:r>
      <w:r>
        <w:t xml:space="preserve">. arXiv preprint arXiv:2206.15407.</w:t>
      </w:r>
      <w:r>
        <w:t xml:space="preserve"> </w:t>
      </w:r>
      <w:hyperlink r:id="rId120">
        <w:r>
          <w:rPr>
            <w:rStyle w:val="Hyperlink"/>
          </w:rPr>
          <w:t xml:space="preserve">https://arxiv.org/abs/2206.15407</w:t>
        </w:r>
      </w:hyperlink>
      <w:r>
        <w:t xml:space="preserve">.</w:t>
      </w:r>
    </w:p>
    <w:bookmarkEnd w:id="121"/>
    <w:bookmarkStart w:id="123" w:name="ref-mendelsohn2023commercial"/>
    <w:p>
      <w:pPr>
        <w:pStyle w:val="Bibliography"/>
      </w:pPr>
      <w:r>
        <w:t xml:space="preserve">Mendelsohn, Zoe, Hugh G. Pemberton, James Gray, et al. 2023.</w:t>
      </w:r>
      <w:r>
        <w:t xml:space="preserve"> </w:t>
      </w:r>
      <w:r>
        <w:t xml:space="preserve">‘Commercial Volumetric</w:t>
      </w:r>
      <w:r>
        <w:t xml:space="preserve"> </w:t>
      </w:r>
      <w:r>
        <w:t xml:space="preserve">MRI</w:t>
      </w:r>
      <w:r>
        <w:t xml:space="preserve"> </w:t>
      </w:r>
      <w:r>
        <w:t xml:space="preserve">Reporting Tools in Multiple Sclerosis: A Systematic Review of the Evidence’</w:t>
      </w:r>
      <w:r>
        <w:t xml:space="preserve">.</w:t>
      </w:r>
      <w:r>
        <w:t xml:space="preserve"> </w:t>
      </w:r>
      <w:r>
        <w:rPr>
          <w:i/>
          <w:iCs/>
        </w:rPr>
        <w:t xml:space="preserve">Neuroradiology</w:t>
      </w:r>
      <w:r>
        <w:t xml:space="preserve"> </w:t>
      </w:r>
      <w:r>
        <w:t xml:space="preserve">65 (1): 5–24.</w:t>
      </w:r>
      <w:r>
        <w:t xml:space="preserve"> </w:t>
      </w:r>
      <w:hyperlink r:id="rId122">
        <w:r>
          <w:rPr>
            <w:rStyle w:val="Hyperlink"/>
          </w:rPr>
          <w:t xml:space="preserve">https://doi.org/10.1007/s00234-022-03074-w</w:t>
        </w:r>
      </w:hyperlink>
      <w:r>
        <w:t xml:space="preserve">.</w:t>
      </w:r>
    </w:p>
    <w:bookmarkEnd w:id="123"/>
    <w:bookmarkStart w:id="124" w:name="ref-molyneux1998thickness"/>
    <w:p>
      <w:pPr>
        <w:pStyle w:val="Bibliography"/>
      </w:pPr>
      <w:r>
        <w:t xml:space="preserve">Molyneux, P. D., N. Tubridy, G. J. Parker, et al. 1998.</w:t>
      </w:r>
      <w:r>
        <w:t xml:space="preserve"> </w:t>
      </w:r>
      <w:r>
        <w:t xml:space="preserve">‘The Effect of Section Thickness on</w:t>
      </w:r>
      <w:r>
        <w:t xml:space="preserve"> </w:t>
      </w:r>
      <w:r>
        <w:t xml:space="preserve">MR</w:t>
      </w:r>
      <w:r>
        <w:t xml:space="preserve"> </w:t>
      </w:r>
      <w:r>
        <w:t xml:space="preserve">Lesion Detection and Quantification in Multiple Sclerosis’</w:t>
      </w:r>
      <w:r>
        <w:t xml:space="preserve">.</w:t>
      </w:r>
      <w:r>
        <w:t xml:space="preserve"> </w:t>
      </w:r>
      <w:r>
        <w:rPr>
          <w:i/>
          <w:iCs/>
        </w:rPr>
        <w:t xml:space="preserve">AJNR American Journal of Neuroradiology</w:t>
      </w:r>
      <w:r>
        <w:t xml:space="preserve"> </w:t>
      </w:r>
      <w:r>
        <w:t xml:space="preserve">19 (9): 1715–20.</w:t>
      </w:r>
    </w:p>
    <w:bookmarkEnd w:id="124"/>
    <w:bookmarkStart w:id="126" w:name="ref-muslim2022data"/>
    <w:p>
      <w:pPr>
        <w:pStyle w:val="Bibliography"/>
      </w:pPr>
      <w:r>
        <w:t xml:space="preserve">Muslim, Ali M. 2022.</w:t>
      </w:r>
      <w:r>
        <w:t xml:space="preserve"> </w:t>
      </w:r>
      <w:r>
        <w:rPr>
          <w:i/>
          <w:iCs/>
        </w:rPr>
        <w:t xml:space="preserve">Brain</w:t>
      </w:r>
      <w:r>
        <w:rPr>
          <w:i/>
          <w:iCs/>
        </w:rPr>
        <w:t xml:space="preserve"> </w:t>
      </w:r>
      <w:r>
        <w:rPr>
          <w:i/>
          <w:iCs/>
        </w:rPr>
        <w:t xml:space="preserve">MRI</w:t>
      </w:r>
      <w:r>
        <w:rPr>
          <w:i/>
          <w:iCs/>
        </w:rPr>
        <w:t xml:space="preserve"> </w:t>
      </w:r>
      <w:r>
        <w:rPr>
          <w:i/>
          <w:iCs/>
        </w:rPr>
        <w:t xml:space="preserve">Dataset of Multiple Sclerosis with Consensus Manual Lesion Segmentation and Patient Meta Information</w:t>
      </w:r>
      <w:r>
        <w:t xml:space="preserve">. Version 1. Mendeley Data.</w:t>
      </w:r>
      <w:r>
        <w:t xml:space="preserve"> </w:t>
      </w:r>
      <w:hyperlink r:id="rId125">
        <w:r>
          <w:rPr>
            <w:rStyle w:val="Hyperlink"/>
          </w:rPr>
          <w:t xml:space="preserve">https://doi.org/10.17632/8bctsm8jz7.1</w:t>
        </w:r>
      </w:hyperlink>
      <w:r>
        <w:t xml:space="preserve">.</w:t>
      </w:r>
    </w:p>
    <w:bookmarkEnd w:id="126"/>
    <w:bookmarkStart w:id="128" w:name="ref-muslim2022dib"/>
    <w:p>
      <w:pPr>
        <w:pStyle w:val="Bibliography"/>
      </w:pPr>
      <w:r>
        <w:t xml:space="preserve">Muslim, Ali M., Syamsiah Mashohor, Gheyath Al Gawwam, et al. 2022.</w:t>
      </w:r>
      <w:r>
        <w:t xml:space="preserve"> </w:t>
      </w:r>
      <w:r>
        <w:t xml:space="preserve">‘Brain</w:t>
      </w:r>
      <w:r>
        <w:t xml:space="preserve"> </w:t>
      </w:r>
      <w:r>
        <w:t xml:space="preserve">MRI</w:t>
      </w:r>
      <w:r>
        <w:t xml:space="preserve"> </w:t>
      </w:r>
      <w:r>
        <w:t xml:space="preserve">Dataset of Multiple Sclerosis with Consensus Manual Lesion Segmentation and Patient Meta Information’</w:t>
      </w:r>
      <w:r>
        <w:t xml:space="preserve">.</w:t>
      </w:r>
      <w:r>
        <w:t xml:space="preserve"> </w:t>
      </w:r>
      <w:r>
        <w:rPr>
          <w:i/>
          <w:iCs/>
        </w:rPr>
        <w:t xml:space="preserve">Data in Brief</w:t>
      </w:r>
      <w:r>
        <w:t xml:space="preserve"> </w:t>
      </w:r>
      <w:r>
        <w:t xml:space="preserve">42: 108139.</w:t>
      </w:r>
      <w:r>
        <w:t xml:space="preserve"> </w:t>
      </w:r>
      <w:hyperlink r:id="rId127">
        <w:r>
          <w:rPr>
            <w:rStyle w:val="Hyperlink"/>
          </w:rPr>
          <w:t xml:space="preserve">https://doi.org/10.1016/j.dib.2022.108139</w:t>
        </w:r>
      </w:hyperlink>
      <w:r>
        <w:t xml:space="preserve">.</w:t>
      </w:r>
    </w:p>
    <w:bookmarkEnd w:id="128"/>
    <w:bookmarkStart w:id="130" w:name="ref-nosek2018prereg"/>
    <w:p>
      <w:pPr>
        <w:pStyle w:val="Bibliography"/>
      </w:pPr>
      <w:r>
        <w:t xml:space="preserve">Nosek, Brian A., Charles R. Ebersole, Alexander C. DeHaven, and David T. Mellor. 2018.</w:t>
      </w:r>
      <w:r>
        <w:t xml:space="preserve"> </w:t>
      </w:r>
      <w:r>
        <w:t xml:space="preserve">‘The Preregistration Revolution’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115 (11): 2600–2606.</w:t>
      </w:r>
      <w:r>
        <w:t xml:space="preserve"> </w:t>
      </w:r>
      <w:hyperlink r:id="rId129">
        <w:r>
          <w:rPr>
            <w:rStyle w:val="Hyperlink"/>
          </w:rPr>
          <w:t xml:space="preserve">https://doi.org/10.1073/pnas.1708274114</w:t>
        </w:r>
      </w:hyperlink>
      <w:r>
        <w:t xml:space="preserve">.</w:t>
      </w:r>
    </w:p>
    <w:bookmarkEnd w:id="130"/>
    <w:bookmarkStart w:id="132" w:name="ref-popa2025pedimsdata"/>
    <w:p>
      <w:pPr>
        <w:pStyle w:val="Bibliography"/>
      </w:pPr>
      <w:r>
        <w:t xml:space="preserve">Popa, Maria, Gabriela Adriana Vișa, and Ciprian Radu Șofariu. 2025a.</w:t>
      </w:r>
      <w:r>
        <w:t xml:space="preserve"> </w:t>
      </w:r>
      <w:r>
        <w:rPr>
          <w:i/>
          <w:iCs/>
        </w:rPr>
        <w:t xml:space="preserve">PediMS</w:t>
      </w:r>
      <w:r>
        <w:rPr>
          <w:i/>
          <w:iCs/>
        </w:rPr>
        <w:t xml:space="preserve">: A Pediatric Multiple Sclerosis Lesion Segmentation Dataset</w:t>
      </w:r>
      <w:r>
        <w:t xml:space="preserve">. Figshare.</w:t>
      </w:r>
      <w:r>
        <w:t xml:space="preserve"> </w:t>
      </w:r>
      <w:hyperlink r:id="rId131">
        <w:r>
          <w:rPr>
            <w:rStyle w:val="Hyperlink"/>
          </w:rPr>
          <w:t xml:space="preserve">https://doi.org/10.6084/m9.figshare.28701065</w:t>
        </w:r>
      </w:hyperlink>
      <w:r>
        <w:t xml:space="preserve">.</w:t>
      </w:r>
    </w:p>
    <w:bookmarkEnd w:id="132"/>
    <w:bookmarkStart w:id="134" w:name="ref-popa2025pedims"/>
    <w:p>
      <w:pPr>
        <w:pStyle w:val="Bibliography"/>
      </w:pPr>
      <w:r>
        <w:t xml:space="preserve">Popa, Maria, Gabriela Adriana Vișa, and Ciprian Radu Șofariu. 2025b.</w:t>
      </w:r>
      <w:r>
        <w:t xml:space="preserve"> </w:t>
      </w:r>
      <w:r>
        <w:t xml:space="preserve">‘</w:t>
      </w:r>
      <w:r>
        <w:t xml:space="preserve">PediMS</w:t>
      </w:r>
      <w:r>
        <w:t xml:space="preserve">: A Pediatric Multiple Sclerosis Lesion Segmentation Dataset’</w:t>
      </w:r>
      <w:r>
        <w:t xml:space="preserve">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12 (1): 1184.</w:t>
      </w:r>
      <w:r>
        <w:t xml:space="preserve"> </w:t>
      </w:r>
      <w:hyperlink r:id="rId133">
        <w:r>
          <w:rPr>
            <w:rStyle w:val="Hyperlink"/>
          </w:rPr>
          <w:t xml:space="preserve">https://doi.org/10.1038/s41597-025-05346-5</w:t>
        </w:r>
      </w:hyperlink>
      <w:r>
        <w:t xml:space="preserve">.</w:t>
      </w:r>
    </w:p>
    <w:bookmarkEnd w:id="134"/>
    <w:bookmarkStart w:id="136" w:name="ref-rondinella2025icpr"/>
    <w:p>
      <w:pPr>
        <w:pStyle w:val="Bibliography"/>
      </w:pPr>
      <w:r>
        <w:t xml:space="preserve">Rondinella, Alessia, Francesco Guarnera, Elena Crispino, et al. 2025.</w:t>
      </w:r>
      <w:r>
        <w:t xml:space="preserve"> </w:t>
      </w:r>
      <w:r>
        <w:t xml:space="preserve">‘</w:t>
      </w:r>
      <w:r>
        <w:t xml:space="preserve">ICPR</w:t>
      </w:r>
      <w:r>
        <w:t xml:space="preserve"> </w:t>
      </w:r>
      <w:r>
        <w:t xml:space="preserve">2024 Competition on Multiple Sclerosis Lesion Segmentation—Methods and Results’</w:t>
      </w:r>
      <w:r>
        <w:t xml:space="preserve">. In</w:t>
      </w:r>
      <w:r>
        <w:t xml:space="preserve"> </w:t>
      </w:r>
      <w:r>
        <w:rPr>
          <w:i/>
          <w:iCs/>
        </w:rPr>
        <w:t xml:space="preserve">Pattern Recognition. Competitions</w:t>
      </w:r>
      <w:r>
        <w:t xml:space="preserve">. Lecture Notes in Computer Science. Springer Nature Switzerland.</w:t>
      </w:r>
      <w:r>
        <w:t xml:space="preserve"> </w:t>
      </w:r>
      <w:hyperlink r:id="rId135">
        <w:r>
          <w:rPr>
            <w:rStyle w:val="Hyperlink"/>
          </w:rPr>
          <w:t xml:space="preserve">https://doi.org/10.1007/978-3-031-80139-6_1</w:t>
        </w:r>
      </w:hyperlink>
      <w:r>
        <w:t xml:space="preserve">.</w:t>
      </w:r>
    </w:p>
    <w:bookmarkEnd w:id="136"/>
    <w:bookmarkStart w:id="138" w:name="ref-schuirmann1987tost"/>
    <w:p>
      <w:pPr>
        <w:pStyle w:val="Bibliography"/>
      </w:pPr>
      <w:r>
        <w:t xml:space="preserve">Schuirmann, Donald J. 1987.</w:t>
      </w:r>
      <w:r>
        <w:t xml:space="preserve"> </w:t>
      </w:r>
      <w:r>
        <w:t xml:space="preserve">‘A Comparison of the Two One-Sided Tests Procedure and the Power Approach for Assessing the Equivalence of Average Bioavailability’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Pharmacokinetics and Biopharmaceutics</w:t>
      </w:r>
      <w:r>
        <w:t xml:space="preserve"> </w:t>
      </w:r>
      <w:r>
        <w:t xml:space="preserve">15 (6): 657–80.</w:t>
      </w:r>
      <w:r>
        <w:t xml:space="preserve"> </w:t>
      </w:r>
      <w:hyperlink r:id="rId137">
        <w:r>
          <w:rPr>
            <w:rStyle w:val="Hyperlink"/>
          </w:rPr>
          <w:t xml:space="preserve">https://doi.org/10.1007/BF01068419</w:t>
        </w:r>
      </w:hyperlink>
      <w:r>
        <w:t xml:space="preserve">.</w:t>
      </w:r>
    </w:p>
    <w:bookmarkEnd w:id="138"/>
    <w:bookmarkStart w:id="140" w:name="ref-spagnolo2023clinical"/>
    <w:p>
      <w:pPr>
        <w:pStyle w:val="Bibliography"/>
      </w:pPr>
      <w:r>
        <w:t xml:space="preserve">Spagnolo, Federico, Adrien Depeursinge, Sabine Schädelin, et al. 2023.</w:t>
      </w:r>
      <w:r>
        <w:t xml:space="preserve"> </w:t>
      </w:r>
      <w:r>
        <w:t xml:space="preserve">‘How Far</w:t>
      </w:r>
      <w:r>
        <w:t xml:space="preserve"> </w:t>
      </w:r>
      <w:r>
        <w:t xml:space="preserve">MS</w:t>
      </w:r>
      <w:r>
        <w:t xml:space="preserve"> </w:t>
      </w:r>
      <w:r>
        <w:t xml:space="preserve">Lesion Detection and Segmentation Are Integrated into the Clinical Workflow?</w:t>
      </w:r>
      <w:r>
        <w:t xml:space="preserve"> </w:t>
      </w:r>
      <w:r>
        <w:t xml:space="preserve">A</w:t>
      </w:r>
      <w:r>
        <w:t xml:space="preserve"> </w:t>
      </w:r>
      <w:r>
        <w:t xml:space="preserve">Systematic Review’</w:t>
      </w:r>
      <w:r>
        <w:t xml:space="preserve">.</w:t>
      </w:r>
      <w:r>
        <w:t xml:space="preserve"> </w:t>
      </w:r>
      <w:r>
        <w:rPr>
          <w:i/>
          <w:iCs/>
        </w:rPr>
        <w:t xml:space="preserve">NeuroImage: Clinical</w:t>
      </w:r>
      <w:r>
        <w:t xml:space="preserve"> </w:t>
      </w:r>
      <w:r>
        <w:t xml:space="preserve">39: 103491.</w:t>
      </w:r>
      <w:r>
        <w:t xml:space="preserve"> </w:t>
      </w:r>
      <w:hyperlink r:id="rId139">
        <w:r>
          <w:rPr>
            <w:rStyle w:val="Hyperlink"/>
          </w:rPr>
          <w:t xml:space="preserve">https://doi.org/10.1016/j.nicl.2023.103491</w:t>
        </w:r>
      </w:hyperlink>
      <w:r>
        <w:t xml:space="preserve">.</w:t>
      </w:r>
    </w:p>
    <w:bookmarkEnd w:id="140"/>
    <w:bookmarkStart w:id="142" w:name="ref-tejani2024claim"/>
    <w:p>
      <w:pPr>
        <w:pStyle w:val="Bibliography"/>
      </w:pPr>
      <w:r>
        <w:t xml:space="preserve">Tejani, Ali S., Michail E. Klontzas, Anthony A. Gatti, et al.</w:t>
      </w:r>
      <w:r>
        <w:t xml:space="preserve"> 2024.</w:t>
      </w:r>
      <w:r>
        <w:t xml:space="preserve"> </w:t>
      </w:r>
      <w:r>
        <w:t xml:space="preserve">‘Checklist for Artificial Intelligence in Medical Imaging (</w:t>
      </w:r>
      <w:r>
        <w:t xml:space="preserve">CLAIM</w:t>
      </w:r>
      <w:r>
        <w:t xml:space="preserve">): 2024 Update’</w:t>
      </w:r>
      <w:r>
        <w:t xml:space="preserve">.</w:t>
      </w:r>
      <w:r>
        <w:t xml:space="preserve"> </w:t>
      </w:r>
      <w:r>
        <w:rPr>
          <w:i/>
          <w:iCs/>
        </w:rPr>
        <w:t xml:space="preserve">Radiology: Artificial Intelligence</w:t>
      </w:r>
      <w:r>
        <w:t xml:space="preserve"> </w:t>
      </w:r>
      <w:r>
        <w:t xml:space="preserve">6 (4): e240300.</w:t>
      </w:r>
      <w:r>
        <w:t xml:space="preserve"> </w:t>
      </w:r>
      <w:hyperlink r:id="rId141">
        <w:r>
          <w:rPr>
            <w:rStyle w:val="Hyperlink"/>
          </w:rPr>
          <w:t xml:space="preserve">https://doi.org/10.1148/ryai.240300</w:t>
        </w:r>
      </w:hyperlink>
      <w:r>
        <w:t xml:space="preserve">.</w:t>
      </w:r>
    </w:p>
    <w:bookmarkEnd w:id="142"/>
    <w:bookmarkStart w:id="144" w:name="ref-thompson2018mcdonald"/>
    <w:p>
      <w:pPr>
        <w:pStyle w:val="Bibliography"/>
      </w:pPr>
      <w:r>
        <w:t xml:space="preserve">Thompson, Alan J., Brenda L. Banwell, Frederik Barkhof, et al.</w:t>
      </w:r>
      <w:r>
        <w:t xml:space="preserve"> 2018.</w:t>
      </w:r>
      <w:r>
        <w:t xml:space="preserve"> </w:t>
      </w:r>
      <w:r>
        <w:t xml:space="preserve">‘Diagnosis of Multiple Sclerosis: 2017 Revisions of the</w:t>
      </w:r>
      <w:r>
        <w:t xml:space="preserve"> </w:t>
      </w:r>
      <w:r>
        <w:t xml:space="preserve">McDonald</w:t>
      </w:r>
      <w:r>
        <w:t xml:space="preserve"> </w:t>
      </w:r>
      <w:r>
        <w:t xml:space="preserve">Criteria’</w:t>
      </w:r>
      <w:r>
        <w:t xml:space="preserve">.</w:t>
      </w:r>
      <w:r>
        <w:t xml:space="preserve"> </w:t>
      </w:r>
      <w:r>
        <w:rPr>
          <w:i/>
          <w:iCs/>
        </w:rPr>
        <w:t xml:space="preserve">The Lancet Neurology</w:t>
      </w:r>
      <w:r>
        <w:t xml:space="preserve"> </w:t>
      </w:r>
      <w:r>
        <w:t xml:space="preserve">17 (2): 162–73.</w:t>
      </w:r>
      <w:r>
        <w:t xml:space="preserve"> </w:t>
      </w:r>
      <w:hyperlink r:id="rId143">
        <w:r>
          <w:rPr>
            <w:rStyle w:val="Hyperlink"/>
          </w:rPr>
          <w:t xml:space="preserve">https://doi.org/10.1016/S1474-4422(17)30470-2</w:t>
        </w:r>
      </w:hyperlink>
      <w:r>
        <w:t xml:space="preserve">.</w:t>
      </w:r>
    </w:p>
    <w:bookmarkEnd w:id="144"/>
    <w:bookmarkStart w:id="146" w:name="ref-varoquaux2022failures"/>
    <w:p>
      <w:pPr>
        <w:pStyle w:val="Bibliography"/>
      </w:pPr>
      <w:r>
        <w:t xml:space="preserve">Varoquaux, Gaël, and Veronika Cheplygina. 2022.</w:t>
      </w:r>
      <w:r>
        <w:t xml:space="preserve"> </w:t>
      </w:r>
      <w:r>
        <w:t xml:space="preserve">‘Machine Learning for Medical Imaging: Methodological Failures and Recommendations for the Future’</w:t>
      </w:r>
      <w:r>
        <w:t xml:space="preserve">.</w:t>
      </w:r>
      <w:r>
        <w:t xml:space="preserve"> </w:t>
      </w:r>
      <w:r>
        <w:rPr>
          <w:i/>
          <w:iCs/>
        </w:rPr>
        <w:t xml:space="preserve">Npj Digital Medicine</w:t>
      </w:r>
      <w:r>
        <w:t xml:space="preserve"> </w:t>
      </w:r>
      <w:r>
        <w:t xml:space="preserve">5 (1): 48.</w:t>
      </w:r>
      <w:r>
        <w:t xml:space="preserve"> </w:t>
      </w:r>
      <w:hyperlink r:id="rId145">
        <w:r>
          <w:rPr>
            <w:rStyle w:val="Hyperlink"/>
          </w:rPr>
          <w:t xml:space="preserve">https://doi.org/10.1038/s41746-022-00592-y</w:t>
        </w:r>
      </w:hyperlink>
      <w:r>
        <w:t xml:space="preserve">.</w:t>
      </w:r>
    </w:p>
    <w:bookmarkEnd w:id="146"/>
    <w:bookmarkStart w:id="148" w:name="ref-wattjes2021magnims"/>
    <w:p>
      <w:pPr>
        <w:pStyle w:val="Bibliography"/>
      </w:pPr>
      <w:r>
        <w:t xml:space="preserve">Wattjes, Mike P., Olga Ciccarelli, Daniel S. Reich, et al.</w:t>
      </w:r>
      <w:r>
        <w:t xml:space="preserve"> 2021.</w:t>
      </w:r>
      <w:r>
        <w:t xml:space="preserve"> </w:t>
      </w:r>
      <w:r>
        <w:t xml:space="preserve">‘2021</w:t>
      </w:r>
      <w:r>
        <w:t xml:space="preserve"> </w:t>
      </w:r>
      <w:r>
        <w:t xml:space="preserve">MAGNIMS</w:t>
      </w:r>
      <w:r>
        <w:t xml:space="preserve">–</w:t>
      </w:r>
      <w:r>
        <w:t xml:space="preserve">CMSC</w:t>
      </w:r>
      <w:r>
        <w:t xml:space="preserve">–</w:t>
      </w:r>
      <w:r>
        <w:t xml:space="preserve">NAIMS</w:t>
      </w:r>
      <w:r>
        <w:t xml:space="preserve"> </w:t>
      </w:r>
      <w:r>
        <w:t xml:space="preserve">Consensus Recommendations on the Use of</w:t>
      </w:r>
      <w:r>
        <w:t xml:space="preserve"> </w:t>
      </w:r>
      <w:r>
        <w:t xml:space="preserve">MRI</w:t>
      </w:r>
      <w:r>
        <w:t xml:space="preserve"> </w:t>
      </w:r>
      <w:r>
        <w:t xml:space="preserve">in Patients with Multiple Sclerosis’</w:t>
      </w:r>
      <w:r>
        <w:t xml:space="preserve">.</w:t>
      </w:r>
      <w:r>
        <w:t xml:space="preserve"> </w:t>
      </w:r>
      <w:r>
        <w:rPr>
          <w:i/>
          <w:iCs/>
        </w:rPr>
        <w:t xml:space="preserve">The Lancet Neurology</w:t>
      </w:r>
      <w:r>
        <w:t xml:space="preserve"> </w:t>
      </w:r>
      <w:r>
        <w:t xml:space="preserve">20 (8): 653–70.</w:t>
      </w:r>
      <w:r>
        <w:t xml:space="preserve"> </w:t>
      </w:r>
      <w:hyperlink r:id="rId147">
        <w:r>
          <w:rPr>
            <w:rStyle w:val="Hyperlink"/>
          </w:rPr>
          <w:t xml:space="preserve">https://doi.org/10.1016/S1474-4422(21)00095-8</w:t>
        </w:r>
      </w:hyperlink>
      <w:r>
        <w:t xml:space="preserve">.</w:t>
      </w:r>
    </w:p>
    <w:bookmarkEnd w:id="148"/>
    <w:bookmarkStart w:id="150" w:name="ref-wiltgen2024lstai"/>
    <w:p>
      <w:pPr>
        <w:pStyle w:val="Bibliography"/>
      </w:pPr>
      <w:r>
        <w:t xml:space="preserve">Wiltgen, Tun, Julian McGinnis, Sarah Schlaeger, et al.</w:t>
      </w:r>
      <w:r>
        <w:t xml:space="preserve"> 2024.</w:t>
      </w:r>
      <w:r>
        <w:t xml:space="preserve"> </w:t>
      </w:r>
      <w:r>
        <w:t xml:space="preserve">‘</w:t>
      </w:r>
      <w:r>
        <w:t xml:space="preserve">LST-AI</w:t>
      </w:r>
      <w:r>
        <w:t xml:space="preserve">: A Deep Learning Ensemble for Accurate</w:t>
      </w:r>
      <w:r>
        <w:t xml:space="preserve"> </w:t>
      </w:r>
      <w:r>
        <w:t xml:space="preserve">MS</w:t>
      </w:r>
      <w:r>
        <w:t xml:space="preserve"> </w:t>
      </w:r>
      <w:r>
        <w:t xml:space="preserve">Lesion Segmentation’</w:t>
      </w:r>
      <w:r>
        <w:t xml:space="preserve">.</w:t>
      </w:r>
      <w:r>
        <w:t xml:space="preserve"> </w:t>
      </w:r>
      <w:r>
        <w:rPr>
          <w:i/>
          <w:iCs/>
        </w:rPr>
        <w:t xml:space="preserve">NeuroImage: Clinical</w:t>
      </w:r>
      <w:r>
        <w:t xml:space="preserve"> </w:t>
      </w:r>
      <w:r>
        <w:t xml:space="preserve">42: 103611.</w:t>
      </w:r>
      <w:r>
        <w:t xml:space="preserve"> </w:t>
      </w:r>
      <w:hyperlink r:id="rId149">
        <w:r>
          <w:rPr>
            <w:rStyle w:val="Hyperlink"/>
          </w:rPr>
          <w:t xml:space="preserve">https://doi.org/10.1016/j.nicl.2024.103611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hyperlink" Id="rId120" Target="https://arxiv.org/abs/2206.15407" TargetMode="External" /><Relationship Type="http://schemas.openxmlformats.org/officeDocument/2006/relationships/hyperlink" Id="rId108" Target="https://doi.org/10.1002/hbm.24750" TargetMode="External" /><Relationship Type="http://schemas.openxmlformats.org/officeDocument/2006/relationships/hyperlink" Id="rId135" Target="https://doi.org/10.1007/978-3-031-80139-6_1" TargetMode="External" /><Relationship Type="http://schemas.openxmlformats.org/officeDocument/2006/relationships/hyperlink" Id="rId137" Target="https://doi.org/10.1007/BF01068419" TargetMode="External" /><Relationship Type="http://schemas.openxmlformats.org/officeDocument/2006/relationships/hyperlink" Id="rId122" Target="https://doi.org/10.1007/s00234-022-03074-w" TargetMode="External" /><Relationship Type="http://schemas.openxmlformats.org/officeDocument/2006/relationships/hyperlink" Id="rId116" Target="https://doi.org/10.1007/s12021-017-9348-7" TargetMode="External" /><Relationship Type="http://schemas.openxmlformats.org/officeDocument/2006/relationships/hyperlink" Id="rId143" Target="https://doi.org/10.1016/S1474-4422(17)30470-2" TargetMode="External" /><Relationship Type="http://schemas.openxmlformats.org/officeDocument/2006/relationships/hyperlink" Id="rId147" Target="https://doi.org/10.1016/S1474-4422(21)00095-8" TargetMode="External" /><Relationship Type="http://schemas.openxmlformats.org/officeDocument/2006/relationships/hyperlink" Id="rId127" Target="https://doi.org/10.1016/j.dib.2022.108139" TargetMode="External" /><Relationship Type="http://schemas.openxmlformats.org/officeDocument/2006/relationships/hyperlink" Id="rId69" Target="https://doi.org/10.1016/j.media.2023.102789" TargetMode="External" /><Relationship Type="http://schemas.openxmlformats.org/officeDocument/2006/relationships/hyperlink" Id="rId90" Target="https://doi.org/10.1016/j.neuroimage.2012.01.021" TargetMode="External" /><Relationship Type="http://schemas.openxmlformats.org/officeDocument/2006/relationships/hyperlink" Id="rId71" Target="https://doi.org/10.1016/j.neuroimage.2016.12.064" TargetMode="External" /><Relationship Type="http://schemas.openxmlformats.org/officeDocument/2006/relationships/hyperlink" Id="rId73" Target="https://doi.org/10.1016/j.neuroimage.2020.117471" TargetMode="External" /><Relationship Type="http://schemas.openxmlformats.org/officeDocument/2006/relationships/hyperlink" Id="rId77" Target="https://doi.org/10.1016/j.neuroimage.2021.118589" TargetMode="External" /><Relationship Type="http://schemas.openxmlformats.org/officeDocument/2006/relationships/hyperlink" Id="rId102" Target="https://doi.org/10.1016/j.neuroimage.2022.119474" TargetMode="External" /><Relationship Type="http://schemas.openxmlformats.org/officeDocument/2006/relationships/hyperlink" Id="rId139" Target="https://doi.org/10.1016/j.nicl.2023.103491" TargetMode="External" /><Relationship Type="http://schemas.openxmlformats.org/officeDocument/2006/relationships/hyperlink" Id="rId149" Target="https://doi.org/10.1016/j.nicl.2024.103611" TargetMode="External" /><Relationship Type="http://schemas.openxmlformats.org/officeDocument/2006/relationships/hyperlink" Id="rId110" Target="https://doi.org/10.1016/j.patter.2023.100804" TargetMode="External" /><Relationship Type="http://schemas.openxmlformats.org/officeDocument/2006/relationships/hyperlink" Id="rId92" Target="https://doi.org/10.1038/s41467-025-58274-8" TargetMode="External" /><Relationship Type="http://schemas.openxmlformats.org/officeDocument/2006/relationships/hyperlink" Id="rId106" Target="https://doi.org/10.1038/s41592-020-01008-z" TargetMode="External" /><Relationship Type="http://schemas.openxmlformats.org/officeDocument/2006/relationships/hyperlink" Id="rId118" Target="https://doi.org/10.1038/s41592-023-02151-z" TargetMode="External" /><Relationship Type="http://schemas.openxmlformats.org/officeDocument/2006/relationships/hyperlink" Id="rId96" Target="https://doi.org/10.1038/s41597-025-05250-y" TargetMode="External" /><Relationship Type="http://schemas.openxmlformats.org/officeDocument/2006/relationships/hyperlink" Id="rId133" Target="https://doi.org/10.1038/s41597-025-05346-5" TargetMode="External" /><Relationship Type="http://schemas.openxmlformats.org/officeDocument/2006/relationships/hyperlink" Id="rId67" Target="https://doi.org/10.1038/s41597-026-07184-5" TargetMode="External" /><Relationship Type="http://schemas.openxmlformats.org/officeDocument/2006/relationships/hyperlink" Id="rId75" Target="https://doi.org/10.1038/s41598-018-31911-7" TargetMode="External" /><Relationship Type="http://schemas.openxmlformats.org/officeDocument/2006/relationships/hyperlink" Id="rId145" Target="https://doi.org/10.1038/s41746-022-00592-y" TargetMode="External" /><Relationship Type="http://schemas.openxmlformats.org/officeDocument/2006/relationships/hyperlink" Id="rId129" Target="https://doi.org/10.1073/pnas.1708274114" TargetMode="External" /><Relationship Type="http://schemas.openxmlformats.org/officeDocument/2006/relationships/hyperlink" Id="rId88" Target="https://doi.org/10.1093/brain/awz144" TargetMode="External" /><Relationship Type="http://schemas.openxmlformats.org/officeDocument/2006/relationships/hyperlink" Id="rId81" Target="https://doi.org/10.1101/2025.05.19.25327707" TargetMode="External" /><Relationship Type="http://schemas.openxmlformats.org/officeDocument/2006/relationships/hyperlink" Id="rId114" Target="https://doi.org/10.1109/ISBI56570.2024.10635502" TargetMode="External" /><Relationship Type="http://schemas.openxmlformats.org/officeDocument/2006/relationships/hyperlink" Id="rId86" Target="https://doi.org/10.1111/j.1467-9868.2007.00593.x" TargetMode="External" /><Relationship Type="http://schemas.openxmlformats.org/officeDocument/2006/relationships/hyperlink" Id="rId79" Target="https://doi.org/10.1111/jon.70085" TargetMode="External" /><Relationship Type="http://schemas.openxmlformats.org/officeDocument/2006/relationships/hyperlink" Id="rId104" Target="https://doi.org/10.1126/sciadv.add3607" TargetMode="External" /><Relationship Type="http://schemas.openxmlformats.org/officeDocument/2006/relationships/hyperlink" Id="rId98" Target="https://doi.org/10.1148/radiology.143.1.7063747" TargetMode="External" /><Relationship Type="http://schemas.openxmlformats.org/officeDocument/2006/relationships/hyperlink" Id="rId141" Target="https://doi.org/10.1148/ryai.240300" TargetMode="External" /><Relationship Type="http://schemas.openxmlformats.org/officeDocument/2006/relationships/hyperlink" Id="rId125" Target="https://doi.org/10.17632/8bctsm8jz7.1" TargetMode="External" /><Relationship Type="http://schemas.openxmlformats.org/officeDocument/2006/relationships/hyperlink" Id="rId83" Target="https://doi.org/10.2307/1932409" TargetMode="External" /><Relationship Type="http://schemas.openxmlformats.org/officeDocument/2006/relationships/hyperlink" Id="rId112" Target="https://doi.org/10.5281/zenodo.17955359" TargetMode="External" /><Relationship Type="http://schemas.openxmlformats.org/officeDocument/2006/relationships/hyperlink" Id="rId94" Target="https://doi.org/10.6084/m9.figshare.27919209" TargetMode="External" /><Relationship Type="http://schemas.openxmlformats.org/officeDocument/2006/relationships/hyperlink" Id="rId131" Target="https://doi.org/10.6084/m9.figshare.28701065" TargetMode="External" /><Relationship Type="http://schemas.openxmlformats.org/officeDocument/2006/relationships/hyperlink" Id="rId65" Target="https://doi.org/10.6084/m9.figshare.30393475" TargetMode="External" /><Relationship Type="http://schemas.openxmlformats.org/officeDocument/2006/relationships/hyperlink" Id="rId53" Target="https://github.com/nicolasbonilla/medical-imaging-viewer" TargetMode="External" /><Relationship Type="http://schemas.openxmlformats.org/officeDocument/2006/relationships/hyperlink" Id="rId100" Target="https://www.jstor.org/stable/461573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https://arxiv.org/abs/2206.15407" TargetMode="External" /><Relationship Type="http://schemas.openxmlformats.org/officeDocument/2006/relationships/hyperlink" Id="rId108" Target="https://doi.org/10.1002/hbm.24750" TargetMode="External" /><Relationship Type="http://schemas.openxmlformats.org/officeDocument/2006/relationships/hyperlink" Id="rId135" Target="https://doi.org/10.1007/978-3-031-80139-6_1" TargetMode="External" /><Relationship Type="http://schemas.openxmlformats.org/officeDocument/2006/relationships/hyperlink" Id="rId137" Target="https://doi.org/10.1007/BF01068419" TargetMode="External" /><Relationship Type="http://schemas.openxmlformats.org/officeDocument/2006/relationships/hyperlink" Id="rId122" Target="https://doi.org/10.1007/s00234-022-03074-w" TargetMode="External" /><Relationship Type="http://schemas.openxmlformats.org/officeDocument/2006/relationships/hyperlink" Id="rId116" Target="https://doi.org/10.1007/s12021-017-9348-7" TargetMode="External" /><Relationship Type="http://schemas.openxmlformats.org/officeDocument/2006/relationships/hyperlink" Id="rId143" Target="https://doi.org/10.1016/S1474-4422(17)30470-2" TargetMode="External" /><Relationship Type="http://schemas.openxmlformats.org/officeDocument/2006/relationships/hyperlink" Id="rId147" Target="https://doi.org/10.1016/S1474-4422(21)00095-8" TargetMode="External" /><Relationship Type="http://schemas.openxmlformats.org/officeDocument/2006/relationships/hyperlink" Id="rId127" Target="https://doi.org/10.1016/j.dib.2022.108139" TargetMode="External" /><Relationship Type="http://schemas.openxmlformats.org/officeDocument/2006/relationships/hyperlink" Id="rId69" Target="https://doi.org/10.1016/j.media.2023.102789" TargetMode="External" /><Relationship Type="http://schemas.openxmlformats.org/officeDocument/2006/relationships/hyperlink" Id="rId90" Target="https://doi.org/10.1016/j.neuroimage.2012.01.021" TargetMode="External" /><Relationship Type="http://schemas.openxmlformats.org/officeDocument/2006/relationships/hyperlink" Id="rId71" Target="https://doi.org/10.1016/j.neuroimage.2016.12.064" TargetMode="External" /><Relationship Type="http://schemas.openxmlformats.org/officeDocument/2006/relationships/hyperlink" Id="rId73" Target="https://doi.org/10.1016/j.neuroimage.2020.117471" TargetMode="External" /><Relationship Type="http://schemas.openxmlformats.org/officeDocument/2006/relationships/hyperlink" Id="rId77" Target="https://doi.org/10.1016/j.neuroimage.2021.118589" TargetMode="External" /><Relationship Type="http://schemas.openxmlformats.org/officeDocument/2006/relationships/hyperlink" Id="rId102" Target="https://doi.org/10.1016/j.neuroimage.2022.119474" TargetMode="External" /><Relationship Type="http://schemas.openxmlformats.org/officeDocument/2006/relationships/hyperlink" Id="rId139" Target="https://doi.org/10.1016/j.nicl.2023.103491" TargetMode="External" /><Relationship Type="http://schemas.openxmlformats.org/officeDocument/2006/relationships/hyperlink" Id="rId149" Target="https://doi.org/10.1016/j.nicl.2024.103611" TargetMode="External" /><Relationship Type="http://schemas.openxmlformats.org/officeDocument/2006/relationships/hyperlink" Id="rId110" Target="https://doi.org/10.1016/j.patter.2023.100804" TargetMode="External" /><Relationship Type="http://schemas.openxmlformats.org/officeDocument/2006/relationships/hyperlink" Id="rId92" Target="https://doi.org/10.1038/s41467-025-58274-8" TargetMode="External" /><Relationship Type="http://schemas.openxmlformats.org/officeDocument/2006/relationships/hyperlink" Id="rId106" Target="https://doi.org/10.1038/s41592-020-01008-z" TargetMode="External" /><Relationship Type="http://schemas.openxmlformats.org/officeDocument/2006/relationships/hyperlink" Id="rId118" Target="https://doi.org/10.1038/s41592-023-02151-z" TargetMode="External" /><Relationship Type="http://schemas.openxmlformats.org/officeDocument/2006/relationships/hyperlink" Id="rId96" Target="https://doi.org/10.1038/s41597-025-05250-y" TargetMode="External" /><Relationship Type="http://schemas.openxmlformats.org/officeDocument/2006/relationships/hyperlink" Id="rId133" Target="https://doi.org/10.1038/s41597-025-05346-5" TargetMode="External" /><Relationship Type="http://schemas.openxmlformats.org/officeDocument/2006/relationships/hyperlink" Id="rId67" Target="https://doi.org/10.1038/s41597-026-07184-5" TargetMode="External" /><Relationship Type="http://schemas.openxmlformats.org/officeDocument/2006/relationships/hyperlink" Id="rId75" Target="https://doi.org/10.1038/s41598-018-31911-7" TargetMode="External" /><Relationship Type="http://schemas.openxmlformats.org/officeDocument/2006/relationships/hyperlink" Id="rId145" Target="https://doi.org/10.1038/s41746-022-00592-y" TargetMode="External" /><Relationship Type="http://schemas.openxmlformats.org/officeDocument/2006/relationships/hyperlink" Id="rId129" Target="https://doi.org/10.1073/pnas.1708274114" TargetMode="External" /><Relationship Type="http://schemas.openxmlformats.org/officeDocument/2006/relationships/hyperlink" Id="rId88" Target="https://doi.org/10.1093/brain/awz144" TargetMode="External" /><Relationship Type="http://schemas.openxmlformats.org/officeDocument/2006/relationships/hyperlink" Id="rId81" Target="https://doi.org/10.1101/2025.05.19.25327707" TargetMode="External" /><Relationship Type="http://schemas.openxmlformats.org/officeDocument/2006/relationships/hyperlink" Id="rId114" Target="https://doi.org/10.1109/ISBI56570.2024.10635502" TargetMode="External" /><Relationship Type="http://schemas.openxmlformats.org/officeDocument/2006/relationships/hyperlink" Id="rId86" Target="https://doi.org/10.1111/j.1467-9868.2007.00593.x" TargetMode="External" /><Relationship Type="http://schemas.openxmlformats.org/officeDocument/2006/relationships/hyperlink" Id="rId79" Target="https://doi.org/10.1111/jon.70085" TargetMode="External" /><Relationship Type="http://schemas.openxmlformats.org/officeDocument/2006/relationships/hyperlink" Id="rId104" Target="https://doi.org/10.1126/sciadv.add3607" TargetMode="External" /><Relationship Type="http://schemas.openxmlformats.org/officeDocument/2006/relationships/hyperlink" Id="rId98" Target="https://doi.org/10.1148/radiology.143.1.7063747" TargetMode="External" /><Relationship Type="http://schemas.openxmlformats.org/officeDocument/2006/relationships/hyperlink" Id="rId141" Target="https://doi.org/10.1148/ryai.240300" TargetMode="External" /><Relationship Type="http://schemas.openxmlformats.org/officeDocument/2006/relationships/hyperlink" Id="rId125" Target="https://doi.org/10.17632/8bctsm8jz7.1" TargetMode="External" /><Relationship Type="http://schemas.openxmlformats.org/officeDocument/2006/relationships/hyperlink" Id="rId83" Target="https://doi.org/10.2307/1932409" TargetMode="External" /><Relationship Type="http://schemas.openxmlformats.org/officeDocument/2006/relationships/hyperlink" Id="rId112" Target="https://doi.org/10.5281/zenodo.17955359" TargetMode="External" /><Relationship Type="http://schemas.openxmlformats.org/officeDocument/2006/relationships/hyperlink" Id="rId94" Target="https://doi.org/10.6084/m9.figshare.27919209" TargetMode="External" /><Relationship Type="http://schemas.openxmlformats.org/officeDocument/2006/relationships/hyperlink" Id="rId131" Target="https://doi.org/10.6084/m9.figshare.28701065" TargetMode="External" /><Relationship Type="http://schemas.openxmlformats.org/officeDocument/2006/relationships/hyperlink" Id="rId65" Target="https://doi.org/10.6084/m9.figshare.30393475" TargetMode="External" /><Relationship Type="http://schemas.openxmlformats.org/officeDocument/2006/relationships/hyperlink" Id="rId53" Target="https://github.com/nicolasbonilla/medical-imaging-viewer" TargetMode="External" /><Relationship Type="http://schemas.openxmlformats.org/officeDocument/2006/relationships/hyperlink" Id="rId100" Target="https://www.jstor.org/stable/461573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CPU lesion segmenters do not outperform a FLAIR-only nnU-Net ensemble on thick-slice FLAIR in multiple sclerosis: a pre-registered benchmark with a negative result</dc:title>
  <dc:creator>N. G. Bonilla Vargas1 [TODO owner: co-authors, ORCID iDs, corresponding e-mail]</dc:creator>
  <dc:language>en-GB</dc:language>
  <cp:keywords/>
  <dcterms:created xsi:type="dcterms:W3CDTF">2026-10-31T15:08:13Z</dcterms:created>
  <dcterms:modified xsi:type="dcterms:W3CDTF">2026-10-31T15:08:13Z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Manuscript draft v1.0, 2026-10-31</vt:lpwstr>
  </property>
  <property fmtid="{D5CDD505-2E9C-101B-9397-08002B2CF9AE}" pid="4" name="link-citations">
    <vt:lpwstr>True</vt:lpwstr>
  </property>
</Properties>
</file>