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bookmarkStart w:id="28" w:name="revue-de-conception-pipeline-dingestion"/>
    <w:p>
      <w:pPr>
        <w:pStyle w:val="Heading1"/>
      </w:pPr>
      <w:r>
        <w:t xml:space="preserve">Revue de conception — pipeline d’ingestion</w:t>
      </w:r>
    </w:p>
    <w:p>
      <w:pPr>
        <w:pStyle w:val="FirstParagraph"/>
      </w:pPr>
      <w:r>
        <w:t xml:space="preserve">Ce document exerce la promesse produit complète (cahier des charges §1) : pas seulement la</w:t>
      </w:r>
      <w:r>
        <w:t xml:space="preserve"> </w:t>
      </w:r>
      <w:r>
        <w:t xml:space="preserve">traduction d’un diagramme, mais un rapport</w:t>
      </w:r>
      <w:r>
        <w:t xml:space="preserve"> </w:t>
      </w:r>
      <w:r>
        <w:rPr>
          <w:bCs/>
          <w:b/>
        </w:rPr>
        <w:t xml:space="preserve">Markdown réel</w:t>
      </w:r>
      <w:r>
        <w:t xml:space="preserve"> </w:t>
      </w:r>
      <w:r>
        <w:t xml:space="preserve">— titres, listes, tableau, citation,</w:t>
      </w:r>
      <w:r>
        <w:t xml:space="preserve"> </w:t>
      </w:r>
      <w:r>
        <w:t xml:space="preserve">code, lien, note de bas de page — avec des diagrammes Mermaid insérés au milieu du texte, comme le</w:t>
      </w:r>
      <w:r>
        <w:t xml:space="preserve"> </w:t>
      </w:r>
      <w:r>
        <w:t xml:space="preserve">ferait l’ingénieur</w:t>
      </w:r>
      <w:r>
        <w:t xml:space="preserve"> </w:t>
      </w:r>
      <w:r>
        <w:t xml:space="preserve">“</w:t>
      </w:r>
      <w:r>
        <w:t xml:space="preserve">docs-as-code</w:t>
      </w:r>
      <w:r>
        <w:t xml:space="preserve">”</w:t>
      </w:r>
      <w:r>
        <w:t xml:space="preserve"> </w:t>
      </w:r>
      <w:r>
        <w:t xml:space="preserve">(persona primaire, §3).</w:t>
      </w:r>
    </w:p>
    <w:bookmarkStart w:id="21" w:name="contexte"/>
    <w:p>
      <w:pPr>
        <w:pStyle w:val="Heading2"/>
      </w:pPr>
      <w:r>
        <w:t xml:space="preserve">Contexte</w:t>
      </w:r>
    </w:p>
    <w:p>
      <w:pPr>
        <w:pStyle w:val="FirstParagraph"/>
      </w:pPr>
      <w:r>
        <w:t xml:space="preserve">Le pipeline actuel repose sur trois composants : un collecteur, une file d’attente et un</w:t>
      </w:r>
      <w:r>
        <w:t xml:space="preserve"> </w:t>
      </w:r>
      <w:r>
        <w:t xml:space="preserve">worker. Le schéma ci-dessous montre le flux</w:t>
      </w:r>
      <w:r>
        <w:t xml:space="preserve"> </w:t>
      </w:r>
      <w:r>
        <w:rPr>
          <w:iCs/>
          <w:i/>
        </w:rPr>
        <w:t xml:space="preserve">nominal</w:t>
      </w:r>
      <w:r>
        <w:rPr>
          <w:rStyle w:val="FootnoteReference"/>
        </w:rPr>
        <w:footnoteReference w:id="20"/>
      </w:r>
      <w:r>
        <w:t xml:space="preserve">.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1143000" cy="4572000"/>
            <wp:effectExtent l="0" t="0" r="0" b="0"/>
            <wp:docPr id="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>
                  <wpc:bg>
                    <a:solidFill>
                      <a:prstClr val="white"/>
                    </a:solidFill>
                  </wpc:bg>
                  <wpc:whole/>
                  <wpg:wgp xmlns:wpg="http://schemas.microsoft.com/office/word/2010/wordprocessingGroup" xmlns:wps="http://schemas.microsoft.com/office/word/2010/wordprocessingShape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                  <wpg:cNvPr id="2" name="Diagram group 2"/>
                    <wpg:cNvGrpSpPr/>
                    <wpg:grpSpPr>
                      <a:xfrm>
                        <a:off x="0" y="0"/>
                        <a:ext cx="1143000" cy="4572000"/>
                        <a:chOff x="0" y="0"/>
                        <a:chExt cx="1143000" cy="4572000"/>
                      </a:xfrm>
                    </wpg:grpSpPr>
                    <wps:wsp>
                      <wps:cNvPr id="3" name="Collecteur" descr="A"/>
                      <wps:cNvSpPr/>
                      <wps:spPr>
                        <a:xfrm>
                          <a:off x="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Collecteur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File d'attente" descr="B"/>
                      <wps:cNvSpPr/>
                      <wps:spPr>
                        <a:xfrm>
                          <a:off x="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File d'attente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Worker" descr="C"/>
                      <wps:cNvSpPr/>
                      <wps:spPr>
                        <a:xfrm>
                          <a:off x="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Worker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Base de données" descr="D"/>
                      <wps:cNvSpPr/>
                      <wps:spPr>
                        <a:xfrm>
                          <a:off x="0" y="400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Base de données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A--B"/>
                      <wps:cNvCnPr>
                        <a:stCxn id="3" idx="2"/>
                        <a:endCxn id="4" idx="0"/>
                      </wps:cNvCnPr>
                      <wps:spPr>
                        <a:xfrm>
                          <a:off x="571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" name="B--C"/>
                      <wps:cNvCnPr>
                        <a:stCxn id="4" idx="2"/>
                        <a:endCxn id="5" idx="0"/>
                      </wps:cNvCnPr>
                      <wps:spPr>
                        <a:xfrm>
                          <a:off x="571500" y="190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" name="C--D"/>
                      <wps:cNvCnPr>
                        <a:stCxn id="5" idx="2"/>
                        <a:endCxn id="6" idx="0"/>
                      </wps:cNvCnPr>
                      <wps:spPr>
                        <a:xfrm>
                          <a:off x="571500" y="3238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wpc:wpc>
              </a:graphicData>
            </a:graphic>
          </wp:inline>
        </w:drawing>
      </w:r>
    </w:p>
    <w:bookmarkEnd w:id="21"/>
    <w:bookmarkStart w:id="23" w:name="constat"/>
    <w:p>
      <w:pPr>
        <w:pStyle w:val="Heading2"/>
      </w:pPr>
      <w:r>
        <w:t xml:space="preserve">Constat</w:t>
      </w:r>
    </w:p>
    <w:p>
      <w:pPr>
        <w:pStyle w:val="FirstParagraph"/>
      </w:pPr>
      <w:r>
        <w:t xml:space="preserve">Les points suivants ont été relevés lors de l’audit :</w:t>
      </w:r>
    </w:p>
    <w:p>
      <w:pPr>
        <w:numPr>
          <w:ilvl w:val="0"/>
          <w:numId w:val="1001"/>
        </w:numPr>
        <w:pStyle w:val="Compact"/>
      </w:pPr>
      <w:r>
        <w:t xml:space="preserve">Le collecteur ne applique</w:t>
      </w:r>
      <w:r>
        <w:t xml:space="preserve"> </w:t>
      </w:r>
      <w:r>
        <w:rPr>
          <w:bCs/>
          <w:b/>
        </w:rPr>
        <w:t xml:space="preserve">aucun</w:t>
      </w:r>
      <w:r>
        <w:t xml:space="preserve"> </w:t>
      </w:r>
      <w:r>
        <w:t xml:space="preserve">backpressure.</w:t>
      </w:r>
    </w:p>
    <w:p>
      <w:pPr>
        <w:numPr>
          <w:ilvl w:val="0"/>
          <w:numId w:val="1001"/>
        </w:numPr>
        <w:pStyle w:val="Compact"/>
      </w:pPr>
      <w:r>
        <w:t xml:space="preserve">La file d’attente n’a pas de politique de purge.</w:t>
      </w:r>
    </w:p>
    <w:p>
      <w:pPr>
        <w:numPr>
          <w:ilvl w:val="0"/>
          <w:numId w:val="1001"/>
        </w:numPr>
        <w:pStyle w:val="Compact"/>
      </w:pPr>
      <w:r>
        <w:t xml:space="preserve">Le worker retente indéfiniment en cas d’échec (</w:t>
      </w:r>
      <w:r>
        <w:rPr>
          <w:rStyle w:val="VerbatimChar"/>
        </w:rPr>
        <w:t xml:space="preserve">retry: -1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worker.yaml</w:t>
      </w:r>
      <w:r>
        <w:t xml:space="preserve">).</w:t>
      </w:r>
    </w:p>
    <w:p>
      <w:pPr>
        <w:pStyle w:val="BlockText"/>
      </w:pPr>
      <w:r>
        <w:t xml:space="preserve">Le troisième point est le plus critique : un message empoisonné bloque tout le pipeline sans</w:t>
      </w:r>
      <w:r>
        <w:t xml:space="preserve"> </w:t>
      </w:r>
      <w:r>
        <w:t xml:space="preserve">jamais être mis de côté.</w:t>
      </w:r>
    </w:p>
    <w:bookmarkStart w:id="22" w:name="comparatif-des-options"/>
    <w:p>
      <w:pPr>
        <w:pStyle w:val="Heading3"/>
      </w:pPr>
      <w:r>
        <w:t xml:space="preserve">Comparatif des options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Risque de régression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Dead-letter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Backpressure au collecteur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Réécriture complète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</w:tr>
    </w:tbl>
    <w:bookmarkEnd w:id="22"/>
    <w:bookmarkEnd w:id="23"/>
    <w:bookmarkStart w:id="24" w:name="architecture-cible"/>
    <w:p>
      <w:pPr>
        <w:pStyle w:val="Heading2"/>
      </w:pPr>
      <w:r>
        <w:t xml:space="preserve">Architecture cible</w:t>
      </w:r>
    </w:p>
    <w:p>
      <w:pPr>
        <w:pStyle w:val="FirstParagraph"/>
      </w:pPr>
      <w:r>
        <w:t xml:space="preserve">La cible ajoute une file de lettres mortes (</w:t>
      </w:r>
      <w:r>
        <w:rPr>
          <w:iCs/>
          <w:i/>
        </w:rPr>
        <w:t xml:space="preserve">dead-letter queue</w:t>
      </w:r>
      <w:r>
        <w:t xml:space="preserve">) et un circuit breaker autour du</w:t>
      </w:r>
      <w:r>
        <w:t xml:space="preserve"> </w:t>
      </w:r>
      <w:r>
        <w:t xml:space="preserve">worker :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2857500" cy="5905500"/>
            <wp:effectExtent l="0" t="0" r="0" b="0"/>
            <wp:docPr id="10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>
                  <wpc:bg>
                    <a:solidFill>
                      <a:prstClr val="white"/>
                    </a:solidFill>
                  </wpc:bg>
                  <wpc:whole/>
                  <wpg:wgp xmlns:wpg="http://schemas.microsoft.com/office/word/2010/wordprocessingGroup" xmlns:wps="http://schemas.microsoft.com/office/word/2010/wordprocessingShape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                  <wpg:cNvPr id="11" name="Diagram group 2"/>
                    <wpg:cNvGrpSpPr/>
                    <wpg:grpSpPr>
                      <a:xfrm>
                        <a:off x="0" y="0"/>
                        <a:ext cx="2857500" cy="5905500"/>
                        <a:chOff x="0" y="0"/>
                        <a:chExt cx="2857500" cy="5905500"/>
                      </a:xfrm>
                    </wpg:grpSpPr>
                    <wps:wsp>
                      <wps:cNvPr id="12" name="Collecteur" descr="A"/>
                      <wps:cNvSpPr/>
                      <wps:spPr>
                        <a:xfrm>
                          <a:off x="8572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Collecteur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File d'attente" descr="B"/>
                      <wps:cNvSpPr/>
                      <wps:spPr>
                        <a:xfrm>
                          <a:off x="85725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File d'attente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Worker" descr="C"/>
                      <wps:cNvSpPr/>
                      <wps:spPr>
                        <a:xfrm>
                          <a:off x="85725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Worker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Base de données" descr="D"/>
                      <wps:cNvSpPr/>
                      <wps:spPr>
                        <a:xfrm>
                          <a:off x="0" y="400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Base de données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Dead-letter queue" descr="E"/>
                      <wps:cNvSpPr/>
                      <wps:spPr>
                        <a:xfrm>
                          <a:off x="1714500" y="400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Dead-letter queue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Alerte on-call" descr="F"/>
                      <wps:cNvSpPr/>
                      <wps:spPr>
                        <a:xfrm>
                          <a:off x="1714500" y="5334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Alerte on-call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" name="A--B"/>
                      <wps:cNvCnPr>
                        <a:stCxn id="12" idx="2"/>
                        <a:endCxn id="13" idx="0"/>
                      </wps:cNvCnPr>
                      <wps:spPr>
                        <a:xfrm>
                          <a:off x="142875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" name="B--C"/>
                      <wps:cNvCnPr>
                        <a:stCxn id="13" idx="2"/>
                        <a:endCxn id="14" idx="0"/>
                      </wps:cNvCnPr>
                      <wps:spPr>
                        <a:xfrm>
                          <a:off x="1428750" y="190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" name="C--D"/>
                      <wps:cNvCnPr>
                        <a:stCxn id="14" idx="2"/>
                        <a:endCxn id="15" idx="0"/>
                      </wps:cNvCnPr>
                      <wps:spPr>
                        <a:xfrm flipH="1">
                          <a:off x="571500" y="32385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1" name="C--E"/>
                      <wps:cNvCnPr>
                        <a:stCxn id="14" idx="2"/>
                        <a:endCxn id="16" idx="0"/>
                      </wps:cNvCnPr>
                      <wps:spPr>
                        <a:xfrm>
                          <a:off x="1428750" y="32385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2" name="EdgeLabel"/>
                      <wps:cNvSpPr txBox="1"/>
                      <wps:spPr>
                        <a:xfrm>
                          <a:off x="1514475" y="3505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échec x3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23" name="E--F"/>
                      <wps:cNvCnPr>
                        <a:stCxn id="16" idx="2"/>
                        <a:endCxn id="17" idx="0"/>
                      </wps:cNvCnPr>
                      <wps:spPr>
                        <a:xfrm>
                          <a:off x="2286000" y="4572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wpc:wpc>
              </a:graphicData>
            </a:graphic>
          </wp:inline>
        </w:drawing>
      </w:r>
    </w:p>
    <w:bookmarkEnd w:id="24"/>
    <w:bookmarkStart w:id="25" w:name="correctif-proposé"/>
    <w:p>
      <w:pPr>
        <w:pStyle w:val="Heading2"/>
      </w:pPr>
      <w:r>
        <w:t xml:space="preserve">Correctif proposé</w:t>
      </w:r>
    </w:p>
    <w:p>
      <w:pPr>
        <w:pStyle w:val="FirstParagraph"/>
      </w:pPr>
      <w:r>
        <w:t xml:space="preserve">Le patch minimal pour le point 3 (</w:t>
      </w:r>
      <w:r>
        <w:rPr>
          <w:rStyle w:val="VerbatimChar"/>
        </w:rPr>
        <w:t xml:space="preserve">worker.yaml</w:t>
      </w:r>
      <w:r>
        <w:t xml:space="preserve">) 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process(message, attempts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attempts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MAX_RETRIES: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ne plus retenter indéfiniment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dead_letter_queue.push(message)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worker.handle(message)</w:t>
      </w:r>
    </w:p>
    <w:bookmarkEnd w:id="25"/>
    <w:bookmarkStart w:id="27" w:name="prochaines-étapes"/>
    <w:p>
      <w:pPr>
        <w:pStyle w:val="Heading2"/>
      </w:pPr>
      <w:r>
        <w:t xml:space="preserve">Prochaines étapes</w:t>
      </w:r>
    </w:p>
    <w:p>
      <w:pPr>
        <w:numPr>
          <w:ilvl w:val="0"/>
          <w:numId w:val="1002"/>
        </w:numPr>
        <w:pStyle w:val="Compact"/>
      </w:pPr>
      <w:r>
        <w:t xml:space="preserve">☐ Implémenter la dead-letter queue</w:t>
      </w:r>
    </w:p>
    <w:p>
      <w:pPr>
        <w:numPr>
          <w:ilvl w:val="0"/>
          <w:numId w:val="1002"/>
        </w:numPr>
        <w:pStyle w:val="Compact"/>
      </w:pPr>
      <w:r>
        <w:t xml:space="preserve">☐ Ajouter un circuit breaker (voir la</w:t>
      </w:r>
      <w:r>
        <w:t xml:space="preserve"> </w:t>
      </w:r>
      <w:hyperlink r:id="rId26">
        <w:r>
          <w:rPr>
            <w:rStyle w:val="Hyperlink"/>
          </w:rPr>
          <w:t xml:space="preserve">doc interne</w:t>
        </w:r>
      </w:hyperlink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☐ Documenter le runbook</w:t>
      </w:r>
    </w:p>
    <w:p>
      <w:r>
        <w:pict>
          <v:rect style="width:0;height:1.5pt" o:hralign="center" o:hrstd="t" o:hr="t"/>
        </w:pic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 flux d’erreur est traité dans la section suivante.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s://example.internal/runbooks/circuit-break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example.internal/runbooks/circuit-break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2026-08-07T17:20:46Z</dcterms:created>
  <dcterms:modified xsi:type="dcterms:W3CDTF">2026-08-07T17:20:46Z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