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X668027a9b61cad0f644ad60c74169bcc56bbc46"/>
      <w:r>
        <w:rPr/>
        <w:t>Evaluación de las cinéticas de pirólisis del café</w:t>
      </w:r>
    </w:p>
    <w:p>
      <w:pPr>
        <w:pStyle w:val="FirstParagraph"/>
        <w:rPr/>
      </w:pPr>
      <w:r>
        <w:rPr/>
        <w:t xml:space="preserve">Proyecto: reactor de pirólisis de residuos de café (SCG), horno eléctrico con canastilla. Fecha: 2026-10-28. Rama: </w:t>
      </w:r>
      <w:r>
        <w:rPr>
          <w:rStyle w:val="VerbatimChar"/>
        </w:rPr>
        <w:t>claude/determined-curie-2btbhr</w:t>
      </w:r>
      <w:r>
        <w:rPr/>
        <w:t>.</w:t>
      </w:r>
    </w:p>
    <w:p>
      <w:pPr>
        <w:pStyle w:val="BodyText"/>
        <w:rPr/>
      </w:pPr>
      <w:r>
        <w:rPr/>
        <w:t>Aquí recojo lo que encontré al revisar el simulador. Por un lado, por qué no cerraba el balance de masa; por otro, qué tan cerca de la realidad están las tres cinéticas que tenía el repo y qué cambié para acercarme a datos medidos con café.</w:t>
      </w:r>
    </w:p>
    <w:p>
      <w:pPr>
        <w:pStyle w:val="Heading2"/>
        <w:rPr/>
      </w:pPr>
      <w:bookmarkStart w:id="1" w:name="qué-quería-saber"/>
      <w:r>
        <w:rPr/>
        <w:t>¿Qué quería saber?</w:t>
      </w:r>
    </w:p>
    <w:p>
      <w:pPr>
        <w:pStyle w:val="Compact"/>
        <w:numPr>
          <w:ilvl w:val="0"/>
          <w:numId w:val="10"/>
        </w:numPr>
        <w:rPr/>
      </w:pPr>
      <w:r>
        <w:rPr/>
        <w:t>¿Por qué la suma de rendimientos no me daba 100 % cuando cambiaba la masa de la canastilla?</w:t>
      </w:r>
    </w:p>
    <w:p>
      <w:pPr>
        <w:pStyle w:val="Compact"/>
        <w:numPr>
          <w:ilvl w:val="0"/>
          <w:numId w:val="1"/>
        </w:numPr>
        <w:rPr/>
      </w:pPr>
      <w:r>
        <w:rPr/>
        <w:t>¿Cuál cinética se parece más a la pirólisis real, sobre todo a la rápida?</w:t>
      </w:r>
    </w:p>
    <w:p>
      <w:pPr>
        <w:pStyle w:val="Compact"/>
        <w:numPr>
          <w:ilvl w:val="0"/>
          <w:numId w:val="1"/>
        </w:numPr>
        <w:rPr/>
      </w:pPr>
      <w:bookmarkStart w:id="2" w:name="qué-quería-saber"/>
      <w:r>
        <w:rPr/>
        <w:t>¿Qué tan lejos están mis modelos de los resultados experimentales con café?</w:t>
      </w:r>
      <w:bookmarkEnd w:id="2"/>
    </w:p>
    <w:p>
      <w:pPr>
        <w:pStyle w:val="Heading2"/>
        <w:rPr/>
      </w:pPr>
      <w:bookmarkStart w:id="3" w:name="X3e38a0d9e8c5cb8fea97e07e79c1cff982ca762"/>
      <w:r>
        <w:rPr/>
        <w:t>1. ¿Por qué el modelo no "cerraba"?</w:t>
      </w:r>
    </w:p>
    <w:p>
      <w:pPr>
        <w:pStyle w:val="FirstParagraph"/>
        <w:rPr/>
      </w:pPr>
      <w:r>
        <w:rPr/>
        <w:t xml:space="preserve">No era un solo error; eran tres que se sumaban en </w:t>
      </w:r>
      <w:r>
        <w:rPr>
          <w:rStyle w:val="VerbatimChar"/>
        </w:rPr>
        <w:t>simulador_interactivo.py</w:t>
      </w:r>
      <w:r>
        <w:rPr/>
        <w:t>.</w:t>
      </w:r>
    </w:p>
    <w:p>
      <w:pPr>
        <w:pStyle w:val="BodyText"/>
        <w:rPr/>
      </w:pPr>
      <w:r>
        <w:rPr>
          <w:b/>
          <w:bCs/>
        </w:rPr>
        <w:t>Inestabilidad numérica.</w:t>
      </w:r>
      <w:r>
        <w:rPr/>
        <w:t xml:space="preserve"> El paso de tiempo se calculaba solo con las propiedades del café. El tubo de acero conduce unas 20 veces más rápido que el café y sus nodos son más finos (0.625 mm contra 1.92 mm), entonces el número de Fourier del acero quedaba en 3.18; el límite del esquema explícito es 0.5. La temperatura oscilaba, crecía sin control y terminaba en NaN con cualquier configuración. Si la temperatura es NaN, la suma de rendimientos no puede dar 100 %.</w:t>
      </w:r>
    </w:p>
    <w:p>
      <w:pPr>
        <w:pStyle w:val="BodyText"/>
        <w:rPr/>
      </w:pPr>
      <w:r>
        <w:rPr>
          <w:b/>
          <w:bCs/>
        </w:rPr>
        <w:t>El calor se perdía en la interfaz café/acero.</w:t>
      </w:r>
      <w:r>
        <w:rPr/>
        <w:t xml:space="preserve"> El café recibía calor a través de la resistencia de contacto (unos 90 W/m²K), pero el acero lo entregaba con </w:t>
      </w:r>
      <w:r>
        <w:rPr>
          <w:rStyle w:val="VerbatimChar"/>
        </w:rPr>
        <w:t>k_acero/dr</w:t>
      </w:r>
      <w:r>
        <w:rPr/>
        <w:t xml:space="preserve"> (unos 26 000 W/m²K). Es decir, el acero perdía casi 300 veces más calor del que el café recibía. Este error ya existía; no se veía porque la simulación explotaba antes. Con el paso de tiempo corregido, el lecho casi no se calentaba y el 90 % de la biomasa quedaba sin reaccionar.</w:t>
      </w:r>
    </w:p>
    <w:p>
      <w:pPr>
        <w:pStyle w:val="BodyText"/>
        <w:rPr/>
      </w:pPr>
      <w:r>
        <w:rPr>
          <w:b/>
          <w:bCs/>
        </w:rPr>
        <w:t>Faltaban términos en la suma.</w:t>
      </w:r>
      <w:r>
        <w:rPr/>
        <w:t xml:space="preserve"> La biomasa que no alcanzaba a reaccionar y la humedad que no se evaporaba no aparecían en el total. En los modelos de </w:t>
      </w:r>
      <w:r>
        <w:rPr>
          <w:rStyle w:val="VerbatimChar"/>
        </w:rPr>
        <w:t>python/</w:t>
      </w:r>
      <w:r>
        <w:rPr/>
        <w:t xml:space="preserve"> pasaba lo mismo con el agua: con una canastilla de R = 60 mm la suma daba 95.2 %.</w:t>
      </w:r>
    </w:p>
    <w:p>
      <w:pPr>
        <w:pStyle w:val="BodyText"/>
        <w:rPr/>
      </w:pPr>
      <w:r>
        <w:rPr/>
        <w:t>Qué cambié:</w:t>
      </w:r>
    </w:p>
    <w:p>
      <w:pPr>
        <w:pStyle w:val="Compact"/>
        <w:numPr>
          <w:ilvl w:val="0"/>
          <w:numId w:val="2"/>
        </w:numPr>
        <w:rPr/>
      </w:pPr>
      <w:r>
        <w:rPr/>
        <w:t>Paso de tiempo estable calculado en cada paso para todos los nodos, acero incluido.</w:t>
      </w:r>
    </w:p>
    <w:p>
      <w:pPr>
        <w:pStyle w:val="Compact"/>
        <w:numPr>
          <w:ilvl w:val="0"/>
          <w:numId w:val="2"/>
        </w:numPr>
        <w:rPr/>
      </w:pPr>
      <w:r>
        <w:rPr/>
        <w:t xml:space="preserve">Cinética integrada de forma exacta: en cada paso se consume </w:t>
      </w:r>
      <w:r>
        <w:rPr>
          <w:rStyle w:val="VerbatimChar"/>
        </w:rPr>
        <w:t>B·(1 - e^(-k·dt))</w:t>
      </w:r>
      <w:r>
        <w:rPr/>
        <w:t xml:space="preserve"> y esa masa se reparte entre los productos. No se puede consumir más de lo que hay, entonces la masa se conserva "por construcción", sin recortar negativos con </w:t>
      </w:r>
      <w:r>
        <w:rPr>
          <w:rStyle w:val="VerbatimChar"/>
        </w:rPr>
        <w:t>np.maximum</w:t>
      </w:r>
      <w:r>
        <w:rPr/>
        <w:t>.</w:t>
      </w:r>
    </w:p>
    <w:p>
      <w:pPr>
        <w:pStyle w:val="Compact"/>
        <w:numPr>
          <w:ilvl w:val="0"/>
          <w:numId w:val="2"/>
        </w:numPr>
        <w:rPr/>
      </w:pPr>
      <w:r>
        <w:rPr/>
        <w:t>El acero cede exactamente el mismo flujo que recibe el café (nodo fantasma).</w:t>
      </w:r>
    </w:p>
    <w:p>
      <w:pPr>
        <w:pStyle w:val="Compact"/>
        <w:numPr>
          <w:ilvl w:val="0"/>
          <w:numId w:val="2"/>
        </w:numPr>
        <w:rPr/>
      </w:pPr>
      <w:r>
        <w:rPr/>
        <w:t xml:space="preserve">El horno avanza con el </w:t>
      </w:r>
      <w:r>
        <w:rPr>
          <w:rStyle w:val="VerbatimChar"/>
        </w:rPr>
        <w:t>dt</w:t>
      </w:r>
      <w:r>
        <w:rPr/>
        <w:t xml:space="preserve"> real del paso (antes eran 0.4 s fijos por paso).</w:t>
      </w:r>
    </w:p>
    <w:p>
      <w:pPr>
        <w:pStyle w:val="Compact"/>
        <w:numPr>
          <w:ilvl w:val="0"/>
          <w:numId w:val="2"/>
        </w:numPr>
        <w:rPr/>
      </w:pPr>
      <w:r>
        <w:rPr/>
        <w:t>El balance incluye biomasa y humedad sin reaccionar.</w:t>
      </w:r>
    </w:p>
    <w:p>
      <w:pPr>
        <w:pStyle w:val="FirstParagraph"/>
        <w:rPr/>
      </w:pPr>
      <w:r>
        <w:rPr/>
        <w:t xml:space="preserve">Verificación: </w:t>
      </w:r>
      <w:r>
        <w:rPr>
          <w:rStyle w:val="VerbatimChar"/>
        </w:rPr>
        <w:t>tests/test_balance_masa.py</w:t>
      </w:r>
      <w:r>
        <w:rPr/>
        <w:t xml:space="preserve"> corre 16 casos con las dos cinéticas y todos cierran el balance con error menor a 0.01 %. Los casos cubren:</w:t>
      </w:r>
    </w:p>
    <w:p>
      <w:pPr>
        <w:pStyle w:val="Compact"/>
        <w:numPr>
          <w:ilvl w:val="0"/>
          <w:numId w:val="11"/>
        </w:numPr>
        <w:rPr/>
      </w:pPr>
      <w:r>
        <w:rPr/>
        <w:t>Canastilla: radio de 10 a 60 mm, altura de 20 a 40 cm.</w:t>
      </w:r>
    </w:p>
    <w:p>
      <w:pPr>
        <w:pStyle w:val="Compact"/>
        <w:numPr>
          <w:ilvl w:val="0"/>
          <w:numId w:val="12"/>
        </w:numPr>
        <w:rPr/>
      </w:pPr>
      <w:r>
        <w:rPr/>
        <w:t>Pared de acero: de 1 a 6 mm.</w:t>
      </w:r>
    </w:p>
    <w:p>
      <w:pPr>
        <w:pStyle w:val="Compact"/>
        <w:numPr>
          <w:ilvl w:val="0"/>
          <w:numId w:val="13"/>
        </w:numPr>
        <w:rPr/>
      </w:pPr>
      <w:r>
        <w:rPr/>
        <w:t>Humedad: de 8 a 40 %.</w:t>
      </w:r>
    </w:p>
    <w:p>
      <w:pPr>
        <w:pStyle w:val="Compact"/>
        <w:numPr>
          <w:ilvl w:val="0"/>
          <w:numId w:val="14"/>
        </w:numPr>
        <w:rPr/>
      </w:pPr>
      <w:bookmarkStart w:id="4" w:name="X3e38a0d9e8c5cb8fea97e07e79c1cff982ca762"/>
      <w:r>
        <w:rPr/>
        <w:t>Temperatura final: de 300 a 700 °C; rampas de 5 a 50 °C/min.</w:t>
      </w:r>
      <w:bookmarkEnd w:id="4"/>
    </w:p>
    <w:p>
      <w:pPr>
        <w:pStyle w:val="Heading2"/>
        <w:rPr/>
      </w:pPr>
      <w:bookmarkStart w:id="5" w:name="Xfbe02f4c943e62b9d058bb316bfbcedbfd1d60a"/>
      <w:r>
        <w:rPr/>
        <w:t>2. ¿Mi horno hace pirólisis rápida o lenta?</w:t>
      </w:r>
    </w:p>
    <w:p>
      <w:pPr>
        <w:pStyle w:val="FirstParagraph"/>
        <w:rPr/>
      </w:pPr>
      <w:r>
        <w:rPr/>
        <w:t>Antes de escoger cinética, encuentro que hay que tener clara esta diferencia, porque cambia todo.</w:t>
      </w:r>
    </w:p>
    <w:p>
      <w:pPr>
        <w:pStyle w:val="BodyText"/>
        <w:rPr/>
      </w:pPr>
      <w:r>
        <w:rPr/>
        <w:t>La pirólisis rápida no es lo mismo que calentar rápido el horno. Necesita que cada partícula se caliente a cientos de °C por segundo, partículas finas y que los vapores salgan en segundos; eso se logra en lecho fluidizado o en tornillo. Según la revisión que cita Inayat et al. (2022), la pirólisis lenta va a menos de 1 °C/s y la rápida entre 1 y 1000 °C/s.</w:t>
      </w:r>
    </w:p>
    <w:p>
      <w:pPr>
        <w:pStyle w:val="BodyText"/>
        <w:rPr/>
      </w:pPr>
      <w:r>
        <w:rPr/>
        <w:t xml:space="preserve">Una canastilla empacada en un horno con rampa de 5 a 20 °C/min es </w:t>
      </w:r>
      <w:r>
        <w:rPr>
          <w:b/>
          <w:bCs/>
        </w:rPr>
        <w:t>pirólisis lenta</w:t>
      </w:r>
      <w:r>
        <w:rPr/>
        <w:t>. Mi propia simulación lo muestra: entre la pared y el centro del lecho hay hasta 220 °C de diferencia, y el centro se queda cerca de 78 °C mientras se seca.</w:t>
      </w:r>
    </w:p>
    <w:p>
      <w:pPr>
        <w:pStyle w:val="BodyText"/>
        <w:rPr/>
      </w:pPr>
      <w:bookmarkStart w:id="6" w:name="Xfbe02f4c943e62b9d058bb316bfbcedbfd1d60a"/>
      <w:r>
        <w:rPr/>
        <w:t>Por eso considero que la pregunta útil no es "¿cuál cinética es la de pirólisis rápida?", sino "¿cuál cinética predice bien los dos regímenes?". Con eso puedo simular mi horno (lento) y también saber qué daría el café en un reactor rápido.</w:t>
      </w:r>
      <w:bookmarkEnd w:id="6"/>
    </w:p>
    <w:p>
      <w:pPr>
        <w:pStyle w:val="Heading2"/>
        <w:rPr/>
      </w:pPr>
      <w:bookmarkStart w:id="7" w:name="Xec2bc08d6e985514801c6e660646c2329efa39f"/>
      <w:r>
        <w:rPr/>
        <w:t>3. ¿Qué modelos cinéticos hay en la literatura?</w:t>
      </w:r>
    </w:p>
    <w:tbl>
      <w:tblPr>
        <w:tblStyle w:val="Table"/>
        <w:tblW w:w="7920" w:type="dxa"/>
        <w:jc w:val="left"/>
        <w:tblInd w:w="113" w:type="dxa"/>
        <w:tblLayout w:type="fixed"/>
        <w:tblCellMar>
          <w:top w:w="40" w:type="dxa"/>
          <w:left w:w="108" w:type="dxa"/>
          <w:bottom w:w="4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shd w:color="auto" w:fill="D9E2F3" w:val="clear"/>
            <w:vAlign w:val="bottom"/>
          </w:tcPr>
          <w:p>
            <w:pPr>
              <w:pStyle w:val="Compact"/>
              <w:widowControl/>
              <w:spacing w:before="36" w:after="36"/>
              <w:jc w:val="left"/>
              <w:rPr>
                <w:rFonts w:ascii="Calibri" w:hAnsi="Calibri" w:eastAsia="Calibri" w:cs="Calibri"/>
                <w:b/>
                <w:kern w:val="0"/>
                <w:sz w:val="22"/>
                <w:szCs w:val="22"/>
                <w:lang w:val="es-CO" w:eastAsia="en-US" w:bidi="ar-SA"/>
              </w:rPr>
            </w:pPr>
            <w:r>
              <w:rPr>
                <w:rFonts w:eastAsia="Calibri" w:cs="Calibri"/>
                <w:b/>
                <w:kern w:val="0"/>
                <w:sz w:val="22"/>
                <w:szCs w:val="22"/>
                <w:lang w:val="es-CO" w:eastAsia="en-US" w:bidi="ar-SA"/>
              </w:rPr>
              <w:t>Familia</w:t>
            </w:r>
          </w:p>
        </w:tc>
        <w:tc>
          <w:tcPr>
            <w:tcW w:w="2640" w:type="dxa"/>
            <w:tcBorders/>
            <w:shd w:color="auto" w:fill="D9E2F3" w:val="clear"/>
            <w:vAlign w:val="bottom"/>
          </w:tcPr>
          <w:p>
            <w:pPr>
              <w:pStyle w:val="Compact"/>
              <w:widowControl/>
              <w:spacing w:before="36" w:after="36"/>
              <w:jc w:val="left"/>
              <w:rPr>
                <w:rFonts w:ascii="Calibri" w:hAnsi="Calibri" w:eastAsia="Calibri" w:cs="Calibri"/>
                <w:b/>
                <w:kern w:val="0"/>
                <w:sz w:val="22"/>
                <w:szCs w:val="22"/>
                <w:lang w:val="es-CO" w:eastAsia="en-US" w:bidi="ar-SA"/>
              </w:rPr>
            </w:pPr>
            <w:r>
              <w:rPr>
                <w:rFonts w:eastAsia="Calibri" w:cs="Calibri"/>
                <w:b/>
                <w:kern w:val="0"/>
                <w:sz w:val="22"/>
                <w:szCs w:val="22"/>
                <w:lang w:val="es-CO" w:eastAsia="en-US" w:bidi="ar-SA"/>
              </w:rPr>
              <w:t>Idea</w:t>
            </w:r>
          </w:p>
        </w:tc>
        <w:tc>
          <w:tcPr>
            <w:tcW w:w="2640" w:type="dxa"/>
            <w:tcBorders/>
            <w:shd w:color="auto" w:fill="D9E2F3" w:val="clear"/>
            <w:vAlign w:val="bottom"/>
          </w:tcPr>
          <w:p>
            <w:pPr>
              <w:pStyle w:val="Compact"/>
              <w:widowControl/>
              <w:spacing w:before="36" w:after="36"/>
              <w:jc w:val="left"/>
              <w:rPr>
                <w:rFonts w:ascii="Calibri" w:hAnsi="Calibri" w:eastAsia="Calibri" w:cs="Calibri"/>
                <w:b/>
                <w:kern w:val="0"/>
                <w:sz w:val="22"/>
                <w:szCs w:val="22"/>
                <w:lang w:val="es-CO" w:eastAsia="en-US" w:bidi="ar-SA"/>
              </w:rPr>
            </w:pPr>
            <w:r>
              <w:rPr>
                <w:rFonts w:eastAsia="Calibri" w:cs="Calibri"/>
                <w:b/>
                <w:kern w:val="0"/>
                <w:sz w:val="22"/>
                <w:szCs w:val="22"/>
                <w:lang w:val="es-CO" w:eastAsia="en-US" w:bidi="ar-SA"/>
              </w:rPr>
              <w:t>¿Sirve para rápida y lenta?</w:t>
            </w:r>
          </w:p>
        </w:tc>
      </w:tr>
      <w:tr>
        <w:trPr/>
        <w:tc>
          <w:tcPr>
            <w:tcW w:w="264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Una reacción global</w:t>
            </w:r>
          </w:p>
        </w:tc>
        <w:tc>
          <w:tcPr>
            <w:tcW w:w="264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Biomasa → volátiles + char con rendimientos fijos</w:t>
            </w:r>
          </w:p>
        </w:tc>
        <w:tc>
          <w:tcPr>
            <w:tcW w:w="264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No: el reparto no cambia con la velocidad de calentamiento</w:t>
            </w:r>
          </w:p>
        </w:tc>
      </w:tr>
      <w:tr>
        <w:trPr/>
        <w:tc>
          <w:tcPr>
            <w:tcW w:w="264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Competitivas tipo Shafizadeh-Chin / Thurner-Mann (1980)</w:t>
            </w:r>
          </w:p>
        </w:tc>
        <w:tc>
          <w:tcPr>
            <w:tcW w:w="264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Biomasa → gas, alquitrán y char en paralelo, con energías de activación distintas</w:t>
            </w:r>
          </w:p>
        </w:tc>
        <w:tc>
          <w:tcPr>
            <w:tcW w:w="264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Sí, en tendencia, pero sin composición de la biomasa</w:t>
            </w:r>
          </w:p>
        </w:tc>
      </w:tr>
      <w:tr>
        <w:trPr/>
        <w:tc>
          <w:tcPr>
            <w:tcW w:w="264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DAEM</w:t>
            </w:r>
          </w:p>
        </w:tc>
        <w:tc>
          <w:tcPr>
            <w:tcW w:w="264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Distribución de energías de activación, muy usada para ajustar TGA</w:t>
            </w:r>
          </w:p>
        </w:tc>
        <w:tc>
          <w:tcPr>
            <w:tcW w:w="264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Ajusta bien la pérdida de masa, no dice qué productos salen</w:t>
            </w:r>
          </w:p>
        </w:tc>
      </w:tr>
      <w:tr>
        <w:trPr/>
        <w:tc>
          <w:tcPr>
            <w:tcW w:w="264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Ranzi / CRECK (Bio-PoliMi), Ranzi et al. 2008</w:t>
            </w:r>
          </w:p>
        </w:tc>
        <w:tc>
          <w:tcPr>
            <w:tcW w:w="264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La biomasa es una mezcla de celulosa, hemicelulosa y tres ligninas; cada una con reacciones que compiten</w:t>
            </w:r>
          </w:p>
        </w:tc>
        <w:tc>
          <w:tcPr>
            <w:tcW w:w="264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Sí: validado en TGA (lento) y en reactores de caída libre y lecho fluidizado (rápido)</w:t>
            </w:r>
          </w:p>
        </w:tc>
      </w:tr>
      <w:tr>
        <w:trPr/>
        <w:tc>
          <w:tcPr>
            <w:tcW w:w="264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RAC, Anca-Couce 2017</w:t>
            </w:r>
          </w:p>
        </w:tc>
        <w:tc>
          <w:tcPr>
            <w:tcW w:w="264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CRECK + carbonización secundaria heterogénea (parámetros "x")</w:t>
            </w:r>
          </w:p>
        </w:tc>
        <w:tc>
          <w:tcPr>
            <w:tcW w:w="264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Sí, y además se aplicó a lecho fijo, que es mi caso</w:t>
            </w:r>
          </w:p>
        </w:tc>
      </w:tr>
      <w:tr>
        <w:trPr/>
        <w:tc>
          <w:tcPr>
            <w:tcW w:w="264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Extractivos, Debiagi et al. 2015</w:t>
            </w:r>
          </w:p>
        </w:tc>
        <w:tc>
          <w:tcPr>
            <w:tcW w:w="264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Agrega triglicéridos (TGL) y taninos a CRECK</w:t>
            </w:r>
          </w:p>
        </w:tc>
        <w:tc>
          <w:tcPr>
            <w:tcW w:w="264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Necesario para el café, que tiene unos 15 % de aceite</w:t>
            </w:r>
          </w:p>
        </w:tc>
      </w:tr>
    </w:tbl>
    <w:p>
      <w:pPr>
        <w:pStyle w:val="BodyText"/>
        <w:rPr/>
      </w:pPr>
      <w:bookmarkStart w:id="8" w:name="Xec2bc08d6e985514801c6e660646c2329efa39f"/>
      <w:r>
        <w:rPr/>
        <w:t>Una advertencia de la literatura: una comparación de modelos (Pielsticker) encontró que CRECK tiende a sobreestimar la velocidad de liberación de volátiles, sobre todo a baja temperatura y en la lignina.</w:t>
      </w:r>
      <w:bookmarkEnd w:id="8"/>
    </w:p>
    <w:p>
      <w:pPr>
        <w:pStyle w:val="Heading2"/>
        <w:rPr/>
      </w:pPr>
      <w:bookmarkStart w:id="9" w:name="X7e323face3e9749404180dbe8f4869433c2afc4"/>
      <w:r>
        <w:rPr/>
        <w:t>4. ¿Cómo eran las tres cinéticas que tenía el repo?</w:t>
      </w:r>
    </w:p>
    <w:p>
      <w:pPr>
        <w:pStyle w:val="FirstParagraph"/>
        <w:rPr/>
      </w:pPr>
      <w:r>
        <w:rPr/>
        <w:t>Calculé la fracción de biomasa que se va a cada producto en cada temperatura (selectividad instantánea [char, bio-oil, gas]):</w:t>
      </w:r>
    </w:p>
    <w:tbl>
      <w:tblPr>
        <w:tblStyle w:val="Table"/>
        <w:tblW w:w="7920" w:type="dxa"/>
        <w:jc w:val="left"/>
        <w:tblInd w:w="113" w:type="dxa"/>
        <w:tblLayout w:type="fixed"/>
        <w:tblCellMar>
          <w:top w:w="40" w:type="dxa"/>
          <w:left w:w="108" w:type="dxa"/>
          <w:bottom w:w="4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shd w:color="auto" w:fill="D9E2F3" w:val="clear"/>
            <w:vAlign w:val="bottom"/>
          </w:tcPr>
          <w:p>
            <w:pPr>
              <w:pStyle w:val="Compact"/>
              <w:widowControl/>
              <w:spacing w:before="36" w:after="36"/>
              <w:jc w:val="left"/>
              <w:rPr>
                <w:rFonts w:ascii="Calibri" w:hAnsi="Calibri" w:eastAsia="Calibri" w:cs="Calibri"/>
                <w:b/>
                <w:kern w:val="0"/>
                <w:sz w:val="22"/>
                <w:szCs w:val="22"/>
                <w:lang w:val="es-CO" w:eastAsia="en-US" w:bidi="ar-SA"/>
              </w:rPr>
            </w:pPr>
            <w:r>
              <w:rPr>
                <w:rFonts w:eastAsia="Calibri" w:cs="Calibri"/>
                <w:b/>
                <w:kern w:val="0"/>
                <w:sz w:val="22"/>
                <w:szCs w:val="22"/>
                <w:lang w:val="es-CO" w:eastAsia="en-US" w:bidi="ar-SA"/>
              </w:rPr>
              <w:t>T</w:t>
            </w:r>
          </w:p>
        </w:tc>
        <w:tc>
          <w:tcPr>
            <w:tcW w:w="2640" w:type="dxa"/>
            <w:tcBorders/>
            <w:shd w:color="auto" w:fill="D9E2F3" w:val="clear"/>
            <w:vAlign w:val="bottom"/>
          </w:tcPr>
          <w:p>
            <w:pPr>
              <w:pStyle w:val="Compact"/>
              <w:widowControl/>
              <w:spacing w:before="36" w:after="36"/>
              <w:jc w:val="left"/>
              <w:rPr>
                <w:rFonts w:ascii="Calibri" w:hAnsi="Calibri" w:eastAsia="Calibri" w:cs="Calibri"/>
                <w:b/>
                <w:kern w:val="0"/>
                <w:sz w:val="22"/>
                <w:szCs w:val="22"/>
                <w:lang w:val="es-CO" w:eastAsia="en-US" w:bidi="ar-SA"/>
              </w:rPr>
            </w:pPr>
            <w:r>
              <w:rPr>
                <w:rFonts w:eastAsia="Calibri" w:cs="Calibri"/>
                <w:b/>
                <w:kern w:val="0"/>
                <w:sz w:val="22"/>
                <w:szCs w:val="22"/>
                <w:lang w:val="es-CO" w:eastAsia="en-US" w:bidi="ar-SA"/>
              </w:rPr>
              <w:t>Lumped</w:t>
            </w:r>
          </w:p>
        </w:tc>
        <w:tc>
          <w:tcPr>
            <w:tcW w:w="2640" w:type="dxa"/>
            <w:tcBorders/>
            <w:shd w:color="auto" w:fill="D9E2F3" w:val="clear"/>
            <w:vAlign w:val="bottom"/>
          </w:tcPr>
          <w:p>
            <w:pPr>
              <w:pStyle w:val="Compact"/>
              <w:widowControl/>
              <w:spacing w:before="36" w:after="36"/>
              <w:jc w:val="left"/>
              <w:rPr>
                <w:rFonts w:ascii="Calibri" w:hAnsi="Calibri" w:eastAsia="Calibri" w:cs="Calibri"/>
                <w:b/>
                <w:kern w:val="0"/>
                <w:sz w:val="22"/>
                <w:szCs w:val="22"/>
                <w:lang w:val="es-CO" w:eastAsia="en-US" w:bidi="ar-SA"/>
              </w:rPr>
            </w:pPr>
            <w:r>
              <w:rPr>
                <w:rFonts w:eastAsia="Calibri" w:cs="Calibri"/>
                <w:b/>
                <w:kern w:val="0"/>
                <w:sz w:val="22"/>
                <w:szCs w:val="22"/>
                <w:lang w:val="es-CO" w:eastAsia="en-US" w:bidi="ar-SA"/>
              </w:rPr>
              <w:t>Interactivo original</w:t>
            </w:r>
          </w:p>
        </w:tc>
      </w:tr>
      <w:tr>
        <w:trPr/>
        <w:tc>
          <w:tcPr>
            <w:tcW w:w="264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300 °C</w:t>
            </w:r>
          </w:p>
        </w:tc>
        <w:tc>
          <w:tcPr>
            <w:tcW w:w="264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0.26 / 0.34 / 0.40</w:t>
            </w:r>
          </w:p>
        </w:tc>
        <w:tc>
          <w:tcPr>
            <w:tcW w:w="264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0.63 / 0.03 / 0.34</w:t>
            </w:r>
          </w:p>
        </w:tc>
      </w:tr>
      <w:tr>
        <w:trPr/>
        <w:tc>
          <w:tcPr>
            <w:tcW w:w="264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400 °C</w:t>
            </w:r>
          </w:p>
        </w:tc>
        <w:tc>
          <w:tcPr>
            <w:tcW w:w="264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0.27 / 0.36 / 0.37</w:t>
            </w:r>
          </w:p>
        </w:tc>
        <w:tc>
          <w:tcPr>
            <w:tcW w:w="264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0.43 / 0.18 / 0.39</w:t>
            </w:r>
          </w:p>
        </w:tc>
      </w:tr>
      <w:tr>
        <w:trPr/>
        <w:tc>
          <w:tcPr>
            <w:tcW w:w="264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500 °C</w:t>
            </w:r>
          </w:p>
        </w:tc>
        <w:tc>
          <w:tcPr>
            <w:tcW w:w="264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0.28 / 0.37 / 0.34</w:t>
            </w:r>
          </w:p>
        </w:tc>
        <w:tc>
          <w:tcPr>
            <w:tcW w:w="264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0.23 / 0.46 / 0.31</w:t>
            </w:r>
          </w:p>
        </w:tc>
      </w:tr>
      <w:tr>
        <w:trPr/>
        <w:tc>
          <w:tcPr>
            <w:tcW w:w="264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600 °C</w:t>
            </w:r>
          </w:p>
        </w:tc>
        <w:tc>
          <w:tcPr>
            <w:tcW w:w="264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0.29 / 0.39 / 0.33</w:t>
            </w:r>
          </w:p>
        </w:tc>
        <w:tc>
          <w:tcPr>
            <w:tcW w:w="264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0.11 / 0.70 / 0.20</w:t>
            </w:r>
          </w:p>
        </w:tc>
      </w:tr>
    </w:tbl>
    <w:p>
      <w:pPr>
        <w:pStyle w:val="BodyText"/>
        <w:rPr/>
      </w:pPr>
      <w:r>
        <w:rPr>
          <w:b/>
          <w:bCs/>
        </w:rPr>
        <w:t>Interactivo original</w:t>
      </w:r>
      <w:r>
        <w:rPr/>
        <w:t xml:space="preserve"> (</w:t>
      </w:r>
      <w:r>
        <w:rPr>
          <w:rStyle w:val="VerbatimChar"/>
        </w:rPr>
        <w:t>simulador_interactivo.py</w:t>
      </w:r>
      <w:r>
        <w:rPr/>
        <w:t>). Tiene la estructura correcta (reacciones que compiten, más bio-oil a mayor temperatura), pero los parámetros no tienen fuente y el char secundario depende de la rampa con una fórmula hecha a mano. A 10 °C/min daba 61 % de char y 2 % de bio-oil, lo cual no cuadra con ningún dato de café.</w:t>
      </w:r>
    </w:p>
    <w:p>
      <w:pPr>
        <w:pStyle w:val="BodyText"/>
        <w:rPr/>
      </w:pPr>
      <w:r>
        <w:rPr>
          <w:b/>
          <w:bCs/>
        </w:rPr>
        <w:t>Lumped</w:t>
      </w:r>
      <w:r>
        <w:rPr/>
        <w:t xml:space="preserve"> (</w:t>
      </w:r>
      <w:r>
        <w:rPr>
          <w:rStyle w:val="VerbatimChar"/>
        </w:rPr>
        <w:t>python/kinetics_lumped.py</w:t>
      </w:r>
      <w:r>
        <w:rPr/>
        <w:t>). Las tres reacciones tienen casi la misma energía de activación (118 a 122.5 kJ/mol), entonces el reparto es casi plano (entre 26 y 40 %) a cualquier temperatura. No puede distinguir pirólisis lenta de rápida.</w:t>
      </w:r>
    </w:p>
    <w:p>
      <w:pPr>
        <w:pStyle w:val="BodyText"/>
        <w:rPr/>
      </w:pPr>
      <w:r>
        <w:rPr>
          <w:b/>
          <w:bCs/>
        </w:rPr>
        <w:t>Multicomponente</w:t>
      </w:r>
      <w:r>
        <w:rPr/>
        <w:t xml:space="preserve"> (</w:t>
      </w:r>
      <w:r>
        <w:rPr>
          <w:rStyle w:val="VerbatimChar"/>
        </w:rPr>
        <w:t>python/kinetics.py</w:t>
      </w:r>
      <w:r>
        <w:rPr/>
        <w:t>). Tiene la composición correcta del café (celulosa, hemicelulosa, lignina, lípidos y craqueo de alquitranes), pero cada componente se reparte con rendimientos fijos; la velocidad de calentamiento no cambia el resultado primario. Además, la composición suma 92.31 % en base seca: si cargo 380 kg/m³, el modelo simula unos 353.</w:t>
      </w:r>
      <w:bookmarkEnd w:id="9"/>
    </w:p>
    <w:p>
      <w:pPr>
        <w:pStyle w:val="Heading2"/>
        <w:rPr/>
      </w:pPr>
      <w:bookmarkStart w:id="10" w:name="X011aab626cf8d6d8e811eef38fe6a0d17bd56db"/>
      <w:r>
        <w:rPr/>
        <w:t>5. ¿Qué implementé?</w:t>
      </w:r>
    </w:p>
    <w:p>
      <w:pPr>
        <w:pStyle w:val="FirstParagraph"/>
        <w:rPr/>
      </w:pPr>
      <w:r>
        <w:rPr>
          <w:rStyle w:val="VerbatimChar"/>
        </w:rPr>
        <w:t>python/kinetics_rac.py</w:t>
      </w:r>
      <w:r>
        <w:rPr/>
        <w:t xml:space="preserve"> tiene el esquema RAC 2017 completo (25 reacciones; R4 no existe en el esquema) más la reacción de triglicéridos de Debiagi et al. (2015):</w:t>
      </w:r>
    </w:p>
    <w:p>
      <w:pPr>
        <w:pStyle w:val="SourceCode"/>
        <w:rPr/>
      </w:pPr>
      <w:r>
        <w:rPr>
          <w:rStyle w:val="VerbatimChar"/>
        </w:rPr>
        <w:t>TGL → acroleína + 3 FFA        A = 7×10^12 s^-1,  E = 45 700 kcal/kmol (191.2 kJ/mol)</w:t>
      </w:r>
    </w:p>
    <w:p>
      <w:pPr>
        <w:pStyle w:val="FirstParagraph"/>
        <w:rPr/>
      </w:pPr>
      <w:r>
        <w:rPr/>
        <w:t>Cómo funciona:</w:t>
      </w:r>
    </w:p>
    <w:p>
      <w:pPr>
        <w:pStyle w:val="Compact"/>
        <w:numPr>
          <w:ilvl w:val="0"/>
          <w:numId w:val="15"/>
        </w:numPr>
        <w:rPr/>
      </w:pPr>
      <w:r>
        <w:rPr/>
        <w:t>Las especies sólidas (CELL, HCE, LIG-C/H/O, intermedios, gases atrapados G{...}, CHAR, TGL) se guardan en cada nodo del lecho.</w:t>
      </w:r>
    </w:p>
    <w:p>
      <w:pPr>
        <w:pStyle w:val="Compact"/>
        <w:numPr>
          <w:ilvl w:val="0"/>
          <w:numId w:val="16"/>
        </w:numPr>
        <w:rPr/>
      </w:pPr>
      <w:r>
        <w:rPr/>
        <w:t xml:space="preserve">Los volátiles se agrupan en lo que se mide en laboratorio: </w:t>
      </w:r>
      <w:r>
        <w:rPr>
          <w:b/>
          <w:bCs/>
        </w:rPr>
        <w:t>gas</w:t>
      </w:r>
      <w:r>
        <w:rPr/>
        <w:t xml:space="preserve"> (H2, CO, CO2, CH4, C2H4), </w:t>
      </w:r>
      <w:r>
        <w:rPr>
          <w:b/>
          <w:bCs/>
        </w:rPr>
        <w:t>agua de reacción</w:t>
      </w:r>
      <w:r>
        <w:rPr/>
        <w:t xml:space="preserve"> y </w:t>
      </w:r>
      <w:r>
        <w:rPr>
          <w:b/>
          <w:bCs/>
        </w:rPr>
        <w:t>bio-oil orgánico</w:t>
      </w:r>
      <w:r>
        <w:rPr/>
        <w:t xml:space="preserve"> (el resto de condensables, incluidos acroleína y ácidos grasos).</w:t>
      </w:r>
    </w:p>
    <w:p>
      <w:pPr>
        <w:pStyle w:val="Compact"/>
        <w:numPr>
          <w:ilvl w:val="0"/>
          <w:numId w:val="17"/>
        </w:numPr>
        <w:rPr/>
      </w:pPr>
      <w:r>
        <w:rPr/>
        <w:t xml:space="preserve">Carbonización secundaria con los parámetros "x" del esquema: </w:t>
      </w:r>
      <w:r>
        <w:rPr>
          <w:rStyle w:val="VerbatimChar"/>
        </w:rPr>
        <w:t>lecho_fijo</w:t>
      </w:r>
      <w:r>
        <w:rPr/>
        <w:t xml:space="preserve"> (x alto: canastilla, rampa lenta, sin azúcares) y </w:t>
      </w:r>
      <w:r>
        <w:rPr>
          <w:rStyle w:val="VerbatimChar"/>
        </w:rPr>
        <w:t>rapida</w:t>
      </w:r>
      <w:r>
        <w:rPr/>
        <w:t xml:space="preserve"> (x bajo, con levoglucosano y xilosa).</w:t>
      </w:r>
    </w:p>
    <w:p>
      <w:pPr>
        <w:pStyle w:val="Compact"/>
        <w:numPr>
          <w:ilvl w:val="0"/>
          <w:numId w:val="18"/>
        </w:numPr>
        <w:rPr/>
      </w:pPr>
      <w:r>
        <w:rPr/>
        <w:t>Calor de reacción por reacción (kJ/g), con la convención del esquema: positivo = endotérmico.</w:t>
      </w:r>
    </w:p>
    <w:p>
      <w:pPr>
        <w:pStyle w:val="Compact"/>
        <w:numPr>
          <w:ilvl w:val="0"/>
          <w:numId w:val="19"/>
        </w:numPr>
        <w:rPr/>
      </w:pPr>
      <w:r>
        <w:rPr/>
        <w:t>Las 26 reacciones quedan balanceadas exactamente en C, H y O. Esto lo revisa una prueba automática; si alguien copia mal un coeficiente, la prueba falla.</w:t>
      </w:r>
    </w:p>
    <w:p>
      <w:pPr>
        <w:pStyle w:val="FirstParagraph"/>
        <w:rPr/>
      </w:pPr>
      <w:r>
        <w:rPr/>
        <w:t>Quedó como cinética por defecto del simulador (</w:t>
      </w:r>
      <w:r>
        <w:rPr>
          <w:rStyle w:val="VerbatimChar"/>
        </w:rPr>
        <w:t>'cinetica': 'rac'</w:t>
      </w:r>
      <w:r>
        <w:rPr/>
        <w:t xml:space="preserve">). La original se puede seguir usando con </w:t>
      </w:r>
      <w:r>
        <w:rPr>
          <w:rStyle w:val="VerbatimChar"/>
        </w:rPr>
        <w:t>'cinetica': 'original'</w:t>
      </w:r>
      <w:r>
        <w:rPr/>
        <w:t xml:space="preserve"> para comparar.</w:t>
      </w:r>
      <w:bookmarkEnd w:id="10"/>
    </w:p>
    <w:p>
      <w:pPr>
        <w:pStyle w:val="Heading2"/>
        <w:rPr/>
      </w:pPr>
      <w:bookmarkStart w:id="11" w:name="Xd5df0d838ea4f361eeb1ea78f2848c3850e940d"/>
      <w:r>
        <w:rPr/>
        <w:t>6. ¿Funciona? Validación con café</w:t>
      </w:r>
    </w:p>
    <w:p>
      <w:pPr>
        <w:pStyle w:val="FirstParagraph"/>
        <w:rPr/>
      </w:pPr>
      <w:r>
        <w:rPr/>
        <w:t>Para comparar solo la química, sin el efecto del reactor, uso una muestra delgada a la que le impongo la temperatura, como en un TGA (</w:t>
      </w:r>
      <w:r>
        <w:rPr>
          <w:rStyle w:val="VerbatimChar"/>
        </w:rPr>
        <w:t>python/comparar_cineticas.py</w:t>
      </w:r>
      <w:r>
        <w:rPr/>
        <w:t>). El "sólido residual" es lo que se pesa en el laboratorio: biochar más lo que no reaccionó. "Líquido total" es bio-oil orgánico más agua.</w:t>
      </w:r>
    </w:p>
    <w:p>
      <w:pPr>
        <w:pStyle w:val="Heading3"/>
        <w:rPr/>
      </w:pPr>
      <w:r>
        <w:rPr/>
        <w:t>Caso 1. Lecho fijo de acero, café seco, ~0.9 °C/min hasta 300 °C, 30 min (Inayat et al. 2022)</w:t>
      </w:r>
    </w:p>
    <w:tbl>
      <w:tblPr>
        <w:tblStyle w:val="Table"/>
        <w:tblW w:w="7920" w:type="dxa"/>
        <w:jc w:val="left"/>
        <w:tblInd w:w="113" w:type="dxa"/>
        <w:tblLayout w:type="fixed"/>
        <w:tblCellMar>
          <w:top w:w="40" w:type="dxa"/>
          <w:left w:w="108" w:type="dxa"/>
          <w:bottom w:w="4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shd w:color="auto" w:fill="D9E2F3" w:val="clear"/>
            <w:vAlign w:val="bottom"/>
          </w:tcPr>
          <w:p>
            <w:pPr>
              <w:pStyle w:val="Compact"/>
              <w:widowControl/>
              <w:spacing w:before="36" w:after="36"/>
              <w:jc w:val="left"/>
              <w:rPr>
                <w:rFonts w:ascii="Calibri" w:hAnsi="Calibri" w:eastAsia="Calibri" w:cs="Calibri"/>
                <w:b/>
                <w:kern w:val="0"/>
                <w:sz w:val="22"/>
                <w:szCs w:val="22"/>
                <w:lang w:val="es-CO" w:eastAsia="en-US" w:bidi="ar-SA"/>
              </w:rPr>
            </w:pPr>
            <w:r>
              <w:rPr>
                <w:rFonts w:eastAsia="Calibri" w:cs="Calibri"/>
                <w:b/>
                <w:kern w:val="0"/>
                <w:sz w:val="22"/>
                <w:szCs w:val="22"/>
                <w:lang w:val="es-CO" w:eastAsia="en-US" w:bidi="ar-SA"/>
              </w:rPr>
              <w:t>Modelo</w:t>
            </w:r>
          </w:p>
        </w:tc>
        <w:tc>
          <w:tcPr>
            <w:tcW w:w="1980" w:type="dxa"/>
            <w:tcBorders/>
            <w:shd w:color="auto" w:fill="D9E2F3" w:val="clear"/>
            <w:vAlign w:val="bottom"/>
          </w:tcPr>
          <w:p>
            <w:pPr>
              <w:pStyle w:val="Compact"/>
              <w:widowControl/>
              <w:spacing w:before="36" w:after="36"/>
              <w:jc w:val="left"/>
              <w:rPr>
                <w:rFonts w:ascii="Calibri" w:hAnsi="Calibri" w:eastAsia="Calibri" w:cs="Calibri"/>
                <w:b/>
                <w:kern w:val="0"/>
                <w:sz w:val="22"/>
                <w:szCs w:val="22"/>
                <w:lang w:val="es-CO" w:eastAsia="en-US" w:bidi="ar-SA"/>
              </w:rPr>
            </w:pPr>
            <w:r>
              <w:rPr>
                <w:rFonts w:eastAsia="Calibri" w:cs="Calibri"/>
                <w:b/>
                <w:kern w:val="0"/>
                <w:sz w:val="22"/>
                <w:szCs w:val="22"/>
                <w:lang w:val="es-CO" w:eastAsia="en-US" w:bidi="ar-SA"/>
              </w:rPr>
              <w:t>Sólido residual (%)</w:t>
            </w:r>
          </w:p>
        </w:tc>
        <w:tc>
          <w:tcPr>
            <w:tcW w:w="1980" w:type="dxa"/>
            <w:tcBorders/>
            <w:shd w:color="auto" w:fill="D9E2F3" w:val="clear"/>
            <w:vAlign w:val="bottom"/>
          </w:tcPr>
          <w:p>
            <w:pPr>
              <w:pStyle w:val="Compact"/>
              <w:widowControl/>
              <w:spacing w:before="36" w:after="36"/>
              <w:jc w:val="left"/>
              <w:rPr>
                <w:rFonts w:ascii="Calibri" w:hAnsi="Calibri" w:eastAsia="Calibri" w:cs="Calibri"/>
                <w:b/>
                <w:kern w:val="0"/>
                <w:sz w:val="22"/>
                <w:szCs w:val="22"/>
                <w:lang w:val="es-CO" w:eastAsia="en-US" w:bidi="ar-SA"/>
              </w:rPr>
            </w:pPr>
            <w:r>
              <w:rPr>
                <w:rFonts w:eastAsia="Calibri" w:cs="Calibri"/>
                <w:b/>
                <w:kern w:val="0"/>
                <w:sz w:val="22"/>
                <w:szCs w:val="22"/>
                <w:lang w:val="es-CO" w:eastAsia="en-US" w:bidi="ar-SA"/>
              </w:rPr>
              <w:t>Líquido total (%)</w:t>
            </w:r>
          </w:p>
        </w:tc>
        <w:tc>
          <w:tcPr>
            <w:tcW w:w="1979" w:type="dxa"/>
            <w:tcBorders/>
            <w:shd w:color="auto" w:fill="D9E2F3" w:val="clear"/>
            <w:vAlign w:val="bottom"/>
          </w:tcPr>
          <w:p>
            <w:pPr>
              <w:pStyle w:val="Compact"/>
              <w:widowControl/>
              <w:spacing w:before="36" w:after="36"/>
              <w:jc w:val="left"/>
              <w:rPr>
                <w:rFonts w:ascii="Calibri" w:hAnsi="Calibri" w:eastAsia="Calibri" w:cs="Calibri"/>
                <w:b/>
                <w:kern w:val="0"/>
                <w:sz w:val="22"/>
                <w:szCs w:val="22"/>
                <w:lang w:val="es-CO" w:eastAsia="en-US" w:bidi="ar-SA"/>
              </w:rPr>
            </w:pPr>
            <w:r>
              <w:rPr>
                <w:rFonts w:eastAsia="Calibri" w:cs="Calibri"/>
                <w:b/>
                <w:kern w:val="0"/>
                <w:sz w:val="22"/>
                <w:szCs w:val="22"/>
                <w:lang w:val="es-CO" w:eastAsia="en-US" w:bidi="ar-SA"/>
              </w:rPr>
              <w:t>Gas (%)</w:t>
            </w:r>
          </w:p>
        </w:tc>
      </w:tr>
      <w:tr>
        <w:trPr/>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RAC + TGL (nuevo)</w:t>
            </w:r>
          </w:p>
        </w:tc>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60.5</w:t>
            </w:r>
          </w:p>
        </w:tc>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24.3</w:t>
            </w:r>
          </w:p>
        </w:tc>
        <w:tc>
          <w:tcPr>
            <w:tcW w:w="1979"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15.2</w:t>
            </w:r>
          </w:p>
        </w:tc>
      </w:tr>
      <w:tr>
        <w:trPr/>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Interactivo original</w:t>
            </w:r>
          </w:p>
        </w:tc>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75.5</w:t>
            </w:r>
          </w:p>
        </w:tc>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0.5</w:t>
            </w:r>
          </w:p>
        </w:tc>
        <w:tc>
          <w:tcPr>
            <w:tcW w:w="1979"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24.0</w:t>
            </w:r>
          </w:p>
        </w:tc>
      </w:tr>
      <w:tr>
        <w:trPr/>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Lumped</w:t>
            </w:r>
          </w:p>
        </w:tc>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27.4</w:t>
            </w:r>
          </w:p>
        </w:tc>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32.1</w:t>
            </w:r>
          </w:p>
        </w:tc>
        <w:tc>
          <w:tcPr>
            <w:tcW w:w="1979"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40.5</w:t>
            </w:r>
          </w:p>
        </w:tc>
      </w:tr>
      <w:tr>
        <w:trPr/>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Multicomponente</w:t>
            </w:r>
          </w:p>
        </w:tc>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35.7</w:t>
            </w:r>
          </w:p>
        </w:tc>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41.4</w:t>
            </w:r>
          </w:p>
        </w:tc>
        <w:tc>
          <w:tcPr>
            <w:tcW w:w="1979"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22.9</w:t>
            </w:r>
          </w:p>
        </w:tc>
      </w:tr>
      <w:tr>
        <w:trPr/>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Experimental</w:t>
            </w:r>
          </w:p>
        </w:tc>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48.2</w:t>
            </w:r>
          </w:p>
        </w:tc>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22.5</w:t>
            </w:r>
          </w:p>
        </w:tc>
        <w:tc>
          <w:tcPr>
            <w:tcW w:w="1979"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 ?</w:t>
            </w:r>
            <w:bookmarkStart w:id="12" w:name="Xecf7bd6c70a10d07bd9f02ec7d39010e24bcc25"/>
            <w:bookmarkEnd w:id="12"/>
          </w:p>
        </w:tc>
      </w:tr>
    </w:tbl>
    <w:p>
      <w:pPr>
        <w:pStyle w:val="Heading3"/>
        <w:rPr/>
      </w:pPr>
      <w:r>
        <w:rPr/>
        <w:t>Caso 2. Pirólisis rápida a 550 °C / 823 K (Bok et al. 2012)</w:t>
      </w:r>
    </w:p>
    <w:tbl>
      <w:tblPr>
        <w:tblStyle w:val="Table"/>
        <w:tblW w:w="7920" w:type="dxa"/>
        <w:jc w:val="left"/>
        <w:tblInd w:w="113" w:type="dxa"/>
        <w:tblLayout w:type="fixed"/>
        <w:tblCellMar>
          <w:top w:w="40" w:type="dxa"/>
          <w:left w:w="108" w:type="dxa"/>
          <w:bottom w:w="4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shd w:color="auto" w:fill="D9E2F3" w:val="clear"/>
            <w:vAlign w:val="bottom"/>
          </w:tcPr>
          <w:p>
            <w:pPr>
              <w:pStyle w:val="Compact"/>
              <w:widowControl/>
              <w:spacing w:before="36" w:after="36"/>
              <w:jc w:val="left"/>
              <w:rPr>
                <w:rFonts w:ascii="Calibri" w:hAnsi="Calibri" w:eastAsia="Calibri" w:cs="Calibri"/>
                <w:b/>
                <w:kern w:val="0"/>
                <w:sz w:val="22"/>
                <w:szCs w:val="22"/>
                <w:lang w:val="es-CO" w:eastAsia="en-US" w:bidi="ar-SA"/>
              </w:rPr>
            </w:pPr>
            <w:r>
              <w:rPr>
                <w:rFonts w:eastAsia="Calibri" w:cs="Calibri"/>
                <w:b/>
                <w:kern w:val="0"/>
                <w:sz w:val="22"/>
                <w:szCs w:val="22"/>
                <w:lang w:val="es-CO" w:eastAsia="en-US" w:bidi="ar-SA"/>
              </w:rPr>
              <w:t>Modelo</w:t>
            </w:r>
          </w:p>
        </w:tc>
        <w:tc>
          <w:tcPr>
            <w:tcW w:w="1980" w:type="dxa"/>
            <w:tcBorders/>
            <w:shd w:color="auto" w:fill="D9E2F3" w:val="clear"/>
            <w:vAlign w:val="bottom"/>
          </w:tcPr>
          <w:p>
            <w:pPr>
              <w:pStyle w:val="Compact"/>
              <w:widowControl/>
              <w:spacing w:before="36" w:after="36"/>
              <w:jc w:val="left"/>
              <w:rPr>
                <w:rFonts w:ascii="Calibri" w:hAnsi="Calibri" w:eastAsia="Calibri" w:cs="Calibri"/>
                <w:b/>
                <w:kern w:val="0"/>
                <w:sz w:val="22"/>
                <w:szCs w:val="22"/>
                <w:lang w:val="es-CO" w:eastAsia="en-US" w:bidi="ar-SA"/>
              </w:rPr>
            </w:pPr>
            <w:r>
              <w:rPr>
                <w:rFonts w:eastAsia="Calibri" w:cs="Calibri"/>
                <w:b/>
                <w:kern w:val="0"/>
                <w:sz w:val="22"/>
                <w:szCs w:val="22"/>
                <w:lang w:val="es-CO" w:eastAsia="en-US" w:bidi="ar-SA"/>
              </w:rPr>
              <w:t>Sólido residual (%)</w:t>
            </w:r>
          </w:p>
        </w:tc>
        <w:tc>
          <w:tcPr>
            <w:tcW w:w="1980" w:type="dxa"/>
            <w:tcBorders/>
            <w:shd w:color="auto" w:fill="D9E2F3" w:val="clear"/>
            <w:vAlign w:val="bottom"/>
          </w:tcPr>
          <w:p>
            <w:pPr>
              <w:pStyle w:val="Compact"/>
              <w:widowControl/>
              <w:spacing w:before="36" w:after="36"/>
              <w:jc w:val="left"/>
              <w:rPr>
                <w:rFonts w:ascii="Calibri" w:hAnsi="Calibri" w:eastAsia="Calibri" w:cs="Calibri"/>
                <w:b/>
                <w:kern w:val="0"/>
                <w:sz w:val="22"/>
                <w:szCs w:val="22"/>
                <w:lang w:val="es-CO" w:eastAsia="en-US" w:bidi="ar-SA"/>
              </w:rPr>
            </w:pPr>
            <w:r>
              <w:rPr>
                <w:rFonts w:eastAsia="Calibri" w:cs="Calibri"/>
                <w:b/>
                <w:kern w:val="0"/>
                <w:sz w:val="22"/>
                <w:szCs w:val="22"/>
                <w:lang w:val="es-CO" w:eastAsia="en-US" w:bidi="ar-SA"/>
              </w:rPr>
              <w:t>Líquido total (%)</w:t>
            </w:r>
          </w:p>
        </w:tc>
        <w:tc>
          <w:tcPr>
            <w:tcW w:w="1979" w:type="dxa"/>
            <w:tcBorders/>
            <w:shd w:color="auto" w:fill="D9E2F3" w:val="clear"/>
            <w:vAlign w:val="bottom"/>
          </w:tcPr>
          <w:p>
            <w:pPr>
              <w:pStyle w:val="Compact"/>
              <w:widowControl/>
              <w:spacing w:before="36" w:after="36"/>
              <w:jc w:val="left"/>
              <w:rPr>
                <w:rFonts w:ascii="Calibri" w:hAnsi="Calibri" w:eastAsia="Calibri" w:cs="Calibri"/>
                <w:b/>
                <w:kern w:val="0"/>
                <w:sz w:val="22"/>
                <w:szCs w:val="22"/>
                <w:lang w:val="es-CO" w:eastAsia="en-US" w:bidi="ar-SA"/>
              </w:rPr>
            </w:pPr>
            <w:r>
              <w:rPr>
                <w:rFonts w:eastAsia="Calibri" w:cs="Calibri"/>
                <w:b/>
                <w:kern w:val="0"/>
                <w:sz w:val="22"/>
                <w:szCs w:val="22"/>
                <w:lang w:val="es-CO" w:eastAsia="en-US" w:bidi="ar-SA"/>
              </w:rPr>
              <w:t>Gas (%)</w:t>
            </w:r>
          </w:p>
        </w:tc>
      </w:tr>
      <w:tr>
        <w:trPr/>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RAC + TGL (nuevo)</w:t>
            </w:r>
          </w:p>
        </w:tc>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23.3</w:t>
            </w:r>
          </w:p>
        </w:tc>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55.2</w:t>
            </w:r>
          </w:p>
        </w:tc>
        <w:tc>
          <w:tcPr>
            <w:tcW w:w="1979"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21.5</w:t>
            </w:r>
          </w:p>
        </w:tc>
      </w:tr>
      <w:tr>
        <w:trPr/>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Interactivo original</w:t>
            </w:r>
          </w:p>
        </w:tc>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21.5</w:t>
            </w:r>
          </w:p>
        </w:tc>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52.8</w:t>
            </w:r>
          </w:p>
        </w:tc>
        <w:tc>
          <w:tcPr>
            <w:tcW w:w="1979"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25.7</w:t>
            </w:r>
          </w:p>
        </w:tc>
      </w:tr>
      <w:tr>
        <w:trPr/>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Lumped</w:t>
            </w:r>
          </w:p>
        </w:tc>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31.0</w:t>
            </w:r>
          </w:p>
        </w:tc>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25.2</w:t>
            </w:r>
          </w:p>
        </w:tc>
        <w:tc>
          <w:tcPr>
            <w:tcW w:w="1979"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43.8</w:t>
            </w:r>
          </w:p>
        </w:tc>
      </w:tr>
      <w:tr>
        <w:trPr/>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Multicomponente</w:t>
            </w:r>
          </w:p>
        </w:tc>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32.3</w:t>
            </w:r>
          </w:p>
        </w:tc>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30.5</w:t>
            </w:r>
          </w:p>
        </w:tc>
        <w:tc>
          <w:tcPr>
            <w:tcW w:w="1979"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37.2</w:t>
            </w:r>
          </w:p>
        </w:tc>
      </w:tr>
      <w:tr>
        <w:trPr/>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Experimental</w:t>
            </w:r>
          </w:p>
        </w:tc>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 ?</w:t>
            </w:r>
          </w:p>
        </w:tc>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54.85</w:t>
            </w:r>
          </w:p>
        </w:tc>
        <w:tc>
          <w:tcPr>
            <w:tcW w:w="1979"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 ?</w:t>
            </w:r>
          </w:p>
        </w:tc>
      </w:tr>
    </w:tbl>
    <w:p>
      <w:pPr>
        <w:pStyle w:val="Heading3"/>
        <w:rPr/>
      </w:pPr>
      <w:r>
        <w:rPr/>
        <w:t>Caso 3. Mi horno por defecto: 10 °C/min, 500 °C, 30 min, 8 % humedad</w:t>
      </w:r>
    </w:p>
    <w:tbl>
      <w:tblPr>
        <w:tblStyle w:val="Table"/>
        <w:tblW w:w="7920" w:type="dxa"/>
        <w:jc w:val="left"/>
        <w:tblInd w:w="113" w:type="dxa"/>
        <w:tblLayout w:type="fixed"/>
        <w:tblCellMar>
          <w:top w:w="40" w:type="dxa"/>
          <w:left w:w="108" w:type="dxa"/>
          <w:bottom w:w="4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shd w:color="auto" w:fill="D9E2F3" w:val="clear"/>
            <w:vAlign w:val="bottom"/>
          </w:tcPr>
          <w:p>
            <w:pPr>
              <w:pStyle w:val="Compact"/>
              <w:widowControl/>
              <w:spacing w:before="36" w:after="36"/>
              <w:jc w:val="left"/>
              <w:rPr>
                <w:rFonts w:ascii="Calibri" w:hAnsi="Calibri" w:eastAsia="Calibri" w:cs="Calibri"/>
                <w:b/>
                <w:kern w:val="0"/>
                <w:sz w:val="22"/>
                <w:szCs w:val="22"/>
                <w:lang w:val="es-CO" w:eastAsia="en-US" w:bidi="ar-SA"/>
              </w:rPr>
            </w:pPr>
            <w:r>
              <w:rPr>
                <w:rFonts w:eastAsia="Calibri" w:cs="Calibri"/>
                <w:b/>
                <w:kern w:val="0"/>
                <w:sz w:val="22"/>
                <w:szCs w:val="22"/>
                <w:lang w:val="es-CO" w:eastAsia="en-US" w:bidi="ar-SA"/>
              </w:rPr>
              <w:t>Modelo</w:t>
            </w:r>
          </w:p>
        </w:tc>
        <w:tc>
          <w:tcPr>
            <w:tcW w:w="1980" w:type="dxa"/>
            <w:tcBorders/>
            <w:shd w:color="auto" w:fill="D9E2F3" w:val="clear"/>
            <w:vAlign w:val="bottom"/>
          </w:tcPr>
          <w:p>
            <w:pPr>
              <w:pStyle w:val="Compact"/>
              <w:widowControl/>
              <w:spacing w:before="36" w:after="36"/>
              <w:jc w:val="left"/>
              <w:rPr>
                <w:rFonts w:ascii="Calibri" w:hAnsi="Calibri" w:eastAsia="Calibri" w:cs="Calibri"/>
                <w:b/>
                <w:kern w:val="0"/>
                <w:sz w:val="22"/>
                <w:szCs w:val="22"/>
                <w:lang w:val="es-CO" w:eastAsia="en-US" w:bidi="ar-SA"/>
              </w:rPr>
            </w:pPr>
            <w:r>
              <w:rPr>
                <w:rFonts w:eastAsia="Calibri" w:cs="Calibri"/>
                <w:b/>
                <w:kern w:val="0"/>
                <w:sz w:val="22"/>
                <w:szCs w:val="22"/>
                <w:lang w:val="es-CO" w:eastAsia="en-US" w:bidi="ar-SA"/>
              </w:rPr>
              <w:t>Sólido residual (%)</w:t>
            </w:r>
          </w:p>
        </w:tc>
        <w:tc>
          <w:tcPr>
            <w:tcW w:w="1980" w:type="dxa"/>
            <w:tcBorders/>
            <w:shd w:color="auto" w:fill="D9E2F3" w:val="clear"/>
            <w:vAlign w:val="bottom"/>
          </w:tcPr>
          <w:p>
            <w:pPr>
              <w:pStyle w:val="Compact"/>
              <w:widowControl/>
              <w:spacing w:before="36" w:after="36"/>
              <w:jc w:val="left"/>
              <w:rPr>
                <w:rFonts w:ascii="Calibri" w:hAnsi="Calibri" w:eastAsia="Calibri" w:cs="Calibri"/>
                <w:b/>
                <w:kern w:val="0"/>
                <w:sz w:val="22"/>
                <w:szCs w:val="22"/>
                <w:lang w:val="es-CO" w:eastAsia="en-US" w:bidi="ar-SA"/>
              </w:rPr>
            </w:pPr>
            <w:r>
              <w:rPr>
                <w:rFonts w:eastAsia="Calibri" w:cs="Calibri"/>
                <w:b/>
                <w:kern w:val="0"/>
                <w:sz w:val="22"/>
                <w:szCs w:val="22"/>
                <w:lang w:val="es-CO" w:eastAsia="en-US" w:bidi="ar-SA"/>
              </w:rPr>
              <w:t>Líquido total (%)</w:t>
            </w:r>
          </w:p>
        </w:tc>
        <w:tc>
          <w:tcPr>
            <w:tcW w:w="1979" w:type="dxa"/>
            <w:tcBorders/>
            <w:shd w:color="auto" w:fill="D9E2F3" w:val="clear"/>
            <w:vAlign w:val="bottom"/>
          </w:tcPr>
          <w:p>
            <w:pPr>
              <w:pStyle w:val="Compact"/>
              <w:widowControl/>
              <w:spacing w:before="36" w:after="36"/>
              <w:jc w:val="left"/>
              <w:rPr>
                <w:rFonts w:ascii="Calibri" w:hAnsi="Calibri" w:eastAsia="Calibri" w:cs="Calibri"/>
                <w:b/>
                <w:kern w:val="0"/>
                <w:sz w:val="22"/>
                <w:szCs w:val="22"/>
                <w:lang w:val="es-CO" w:eastAsia="en-US" w:bidi="ar-SA"/>
              </w:rPr>
            </w:pPr>
            <w:r>
              <w:rPr>
                <w:rFonts w:eastAsia="Calibri" w:cs="Calibri"/>
                <w:b/>
                <w:kern w:val="0"/>
                <w:sz w:val="22"/>
                <w:szCs w:val="22"/>
                <w:lang w:val="es-CO" w:eastAsia="en-US" w:bidi="ar-SA"/>
              </w:rPr>
              <w:t>Gas (%)</w:t>
            </w:r>
          </w:p>
        </w:tc>
      </w:tr>
      <w:tr>
        <w:trPr/>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RAC + TGL (nuevo)</w:t>
            </w:r>
          </w:p>
        </w:tc>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25.0</w:t>
            </w:r>
          </w:p>
        </w:tc>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54.7</w:t>
            </w:r>
          </w:p>
        </w:tc>
        <w:tc>
          <w:tcPr>
            <w:tcW w:w="1979"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20.2</w:t>
            </w:r>
          </w:p>
        </w:tc>
      </w:tr>
      <w:tr>
        <w:trPr/>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Interactivo original</w:t>
            </w:r>
          </w:p>
        </w:tc>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61.2</w:t>
            </w:r>
          </w:p>
        </w:tc>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10.1</w:t>
            </w:r>
          </w:p>
        </w:tc>
        <w:tc>
          <w:tcPr>
            <w:tcW w:w="1979"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28.7</w:t>
            </w:r>
          </w:p>
        </w:tc>
      </w:tr>
      <w:tr>
        <w:trPr/>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Lumped</w:t>
            </w:r>
          </w:p>
        </w:tc>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25.8</w:t>
            </w:r>
          </w:p>
        </w:tc>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38.6</w:t>
            </w:r>
          </w:p>
        </w:tc>
        <w:tc>
          <w:tcPr>
            <w:tcW w:w="1979"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35.6</w:t>
            </w:r>
          </w:p>
        </w:tc>
      </w:tr>
      <w:tr>
        <w:trPr/>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Multicomponente</w:t>
            </w:r>
          </w:p>
        </w:tc>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28.6</w:t>
            </w:r>
          </w:p>
        </w:tc>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49.3</w:t>
            </w:r>
          </w:p>
        </w:tc>
        <w:tc>
          <w:tcPr>
            <w:tcW w:w="1979"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22.1</w:t>
            </w:r>
          </w:p>
        </w:tc>
      </w:tr>
      <w:tr>
        <w:trPr/>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Referencia genérica de pirólisis lenta (no es café)</w:t>
            </w:r>
          </w:p>
        </w:tc>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w:t>
            </w:r>
            <w:r>
              <w:rPr>
                <w:rFonts w:eastAsia="Calibri" w:cs="Calibri"/>
                <w:kern w:val="0"/>
                <w:sz w:val="22"/>
                <w:szCs w:val="22"/>
                <w:lang w:val="es-CO" w:eastAsia="en-US" w:bidi="ar-SA"/>
              </w:rPr>
              <w:t>35</w:t>
            </w:r>
          </w:p>
        </w:tc>
        <w:tc>
          <w:tcPr>
            <w:tcW w:w="1980"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w:t>
            </w:r>
            <w:r>
              <w:rPr>
                <w:rFonts w:eastAsia="Calibri" w:cs="Calibri"/>
                <w:kern w:val="0"/>
                <w:sz w:val="22"/>
                <w:szCs w:val="22"/>
                <w:lang w:val="es-CO" w:eastAsia="en-US" w:bidi="ar-SA"/>
              </w:rPr>
              <w:t>30</w:t>
            </w:r>
          </w:p>
        </w:tc>
        <w:tc>
          <w:tcPr>
            <w:tcW w:w="1979"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w:t>
            </w:r>
            <w:r>
              <w:rPr>
                <w:rFonts w:eastAsia="Calibri" w:cs="Calibri"/>
                <w:kern w:val="0"/>
                <w:sz w:val="22"/>
                <w:szCs w:val="22"/>
                <w:lang w:val="es-CO" w:eastAsia="en-US" w:bidi="ar-SA"/>
              </w:rPr>
              <w:t>35</w:t>
            </w:r>
          </w:p>
        </w:tc>
      </w:tr>
    </w:tbl>
    <w:p>
      <w:pPr>
        <w:pStyle w:val="BodyText"/>
        <w:rPr/>
      </w:pPr>
      <w:r>
        <w:rPr/>
        <w:drawing>
          <wp:inline distT="0" distB="0" distL="0" distR="0">
            <wp:extent cx="5334000" cy="1540510"/>
            <wp:effectExtent l="0" t="0" r="0" b="0"/>
            <wp:docPr id="1" name="Picture" descr="Comparación de ciné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Comparación de cinéticas"/>
                    <pic:cNvPicPr>
                      <a:picLocks noChangeAspect="1" noChangeArrowheads="1"/>
                    </pic:cNvPicPr>
                  </pic:nvPicPr>
                  <pic:blipFill>
                    <a:blip r:embed="rId2"/>
                    <a:stretch>
                      <a:fillRect/>
                    </a:stretch>
                  </pic:blipFill>
                  <pic:spPr bwMode="auto">
                    <a:xfrm>
                      <a:off x="0" y="0"/>
                      <a:ext cx="5334000" cy="1540510"/>
                    </a:xfrm>
                    <a:prstGeom prst="rect">
                      <a:avLst/>
                    </a:prstGeom>
                  </pic:spPr>
                </pic:pic>
              </a:graphicData>
            </a:graphic>
          </wp:inline>
        </w:drawing>
      </w:r>
    </w:p>
    <w:p>
      <w:pPr>
        <w:pStyle w:val="BodyText"/>
        <w:rPr/>
      </w:pPr>
      <w:r>
        <w:rPr/>
        <w:t>Error contra el experimento (puntos porcentuales):</w:t>
      </w:r>
    </w:p>
    <w:tbl>
      <w:tblPr>
        <w:tblStyle w:val="Table"/>
        <w:tblW w:w="7920" w:type="dxa"/>
        <w:jc w:val="left"/>
        <w:tblInd w:w="113" w:type="dxa"/>
        <w:tblLayout w:type="fixed"/>
        <w:tblCellMar>
          <w:top w:w="40" w:type="dxa"/>
          <w:left w:w="108" w:type="dxa"/>
          <w:bottom w:w="4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shd w:color="auto" w:fill="D9E2F3" w:val="clear"/>
            <w:vAlign w:val="bottom"/>
          </w:tcPr>
          <w:p>
            <w:pPr>
              <w:pStyle w:val="Compact"/>
              <w:widowControl/>
              <w:spacing w:before="36" w:after="36"/>
              <w:jc w:val="left"/>
              <w:rPr>
                <w:rFonts w:ascii="Calibri" w:hAnsi="Calibri" w:eastAsia="Calibri" w:cs="Calibri"/>
                <w:b/>
                <w:kern w:val="0"/>
                <w:sz w:val="22"/>
                <w:szCs w:val="22"/>
                <w:lang w:val="es-CO" w:eastAsia="en-US" w:bidi="ar-SA"/>
              </w:rPr>
            </w:pPr>
            <w:r>
              <w:rPr>
                <w:rFonts w:eastAsia="Calibri" w:cs="Calibri"/>
                <w:b/>
                <w:kern w:val="0"/>
                <w:sz w:val="22"/>
                <w:szCs w:val="22"/>
                <w:lang w:val="es-CO" w:eastAsia="en-US" w:bidi="ar-SA"/>
              </w:rPr>
            </w:r>
          </w:p>
        </w:tc>
        <w:tc>
          <w:tcPr>
            <w:tcW w:w="1584" w:type="dxa"/>
            <w:tcBorders/>
            <w:shd w:color="auto" w:fill="D9E2F3" w:val="clear"/>
            <w:vAlign w:val="bottom"/>
          </w:tcPr>
          <w:p>
            <w:pPr>
              <w:pStyle w:val="Compact"/>
              <w:widowControl/>
              <w:spacing w:before="36" w:after="36"/>
              <w:jc w:val="left"/>
              <w:rPr>
                <w:rFonts w:ascii="Calibri" w:hAnsi="Calibri" w:eastAsia="Calibri" w:cs="Calibri"/>
                <w:b/>
                <w:kern w:val="0"/>
                <w:sz w:val="22"/>
                <w:szCs w:val="22"/>
                <w:lang w:val="es-CO" w:eastAsia="en-US" w:bidi="ar-SA"/>
              </w:rPr>
            </w:pPr>
            <w:r>
              <w:rPr>
                <w:rFonts w:eastAsia="Calibri" w:cs="Calibri"/>
                <w:b/>
                <w:kern w:val="0"/>
                <w:sz w:val="22"/>
                <w:szCs w:val="22"/>
                <w:lang w:val="es-CO" w:eastAsia="en-US" w:bidi="ar-SA"/>
              </w:rPr>
              <w:t>RAC (nuevo)</w:t>
            </w:r>
          </w:p>
        </w:tc>
        <w:tc>
          <w:tcPr>
            <w:tcW w:w="1584" w:type="dxa"/>
            <w:tcBorders/>
            <w:shd w:color="auto" w:fill="D9E2F3" w:val="clear"/>
            <w:vAlign w:val="bottom"/>
          </w:tcPr>
          <w:p>
            <w:pPr>
              <w:pStyle w:val="Compact"/>
              <w:widowControl/>
              <w:spacing w:before="36" w:after="36"/>
              <w:jc w:val="left"/>
              <w:rPr>
                <w:rFonts w:ascii="Calibri" w:hAnsi="Calibri" w:eastAsia="Calibri" w:cs="Calibri"/>
                <w:b/>
                <w:kern w:val="0"/>
                <w:sz w:val="22"/>
                <w:szCs w:val="22"/>
                <w:lang w:val="es-CO" w:eastAsia="en-US" w:bidi="ar-SA"/>
              </w:rPr>
            </w:pPr>
            <w:r>
              <w:rPr>
                <w:rFonts w:eastAsia="Calibri" w:cs="Calibri"/>
                <w:b/>
                <w:kern w:val="0"/>
                <w:sz w:val="22"/>
                <w:szCs w:val="22"/>
                <w:lang w:val="es-CO" w:eastAsia="en-US" w:bidi="ar-SA"/>
              </w:rPr>
              <w:t>Interactivo original</w:t>
            </w:r>
          </w:p>
        </w:tc>
        <w:tc>
          <w:tcPr>
            <w:tcW w:w="1584" w:type="dxa"/>
            <w:tcBorders/>
            <w:shd w:color="auto" w:fill="D9E2F3" w:val="clear"/>
            <w:vAlign w:val="bottom"/>
          </w:tcPr>
          <w:p>
            <w:pPr>
              <w:pStyle w:val="Compact"/>
              <w:widowControl/>
              <w:spacing w:before="36" w:after="36"/>
              <w:jc w:val="left"/>
              <w:rPr>
                <w:rFonts w:ascii="Calibri" w:hAnsi="Calibri" w:eastAsia="Calibri" w:cs="Calibri"/>
                <w:b/>
                <w:kern w:val="0"/>
                <w:sz w:val="22"/>
                <w:szCs w:val="22"/>
                <w:lang w:val="es-CO" w:eastAsia="en-US" w:bidi="ar-SA"/>
              </w:rPr>
            </w:pPr>
            <w:r>
              <w:rPr>
                <w:rFonts w:eastAsia="Calibri" w:cs="Calibri"/>
                <w:b/>
                <w:kern w:val="0"/>
                <w:sz w:val="22"/>
                <w:szCs w:val="22"/>
                <w:lang w:val="es-CO" w:eastAsia="en-US" w:bidi="ar-SA"/>
              </w:rPr>
              <w:t>Lumped</w:t>
            </w:r>
          </w:p>
        </w:tc>
        <w:tc>
          <w:tcPr>
            <w:tcW w:w="1584" w:type="dxa"/>
            <w:tcBorders/>
            <w:shd w:color="auto" w:fill="D9E2F3" w:val="clear"/>
            <w:vAlign w:val="bottom"/>
          </w:tcPr>
          <w:p>
            <w:pPr>
              <w:pStyle w:val="Compact"/>
              <w:widowControl/>
              <w:spacing w:before="36" w:after="36"/>
              <w:jc w:val="left"/>
              <w:rPr>
                <w:rFonts w:ascii="Calibri" w:hAnsi="Calibri" w:eastAsia="Calibri" w:cs="Calibri"/>
                <w:b/>
                <w:kern w:val="0"/>
                <w:sz w:val="22"/>
                <w:szCs w:val="22"/>
                <w:lang w:val="es-CO" w:eastAsia="en-US" w:bidi="ar-SA"/>
              </w:rPr>
            </w:pPr>
            <w:r>
              <w:rPr>
                <w:rFonts w:eastAsia="Calibri" w:cs="Calibri"/>
                <w:b/>
                <w:kern w:val="0"/>
                <w:sz w:val="22"/>
                <w:szCs w:val="22"/>
                <w:lang w:val="es-CO" w:eastAsia="en-US" w:bidi="ar-SA"/>
              </w:rPr>
              <w:t>Multicomponente</w:t>
            </w:r>
          </w:p>
        </w:tc>
      </w:tr>
      <w:tr>
        <w:trPr/>
        <w:tc>
          <w:tcPr>
            <w:tcW w:w="1584"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Líquido, lecho fijo (Inayat)</w:t>
            </w:r>
          </w:p>
        </w:tc>
        <w:tc>
          <w:tcPr>
            <w:tcW w:w="1584"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b/>
                <w:bCs/>
                <w:kern w:val="0"/>
                <w:sz w:val="22"/>
                <w:szCs w:val="22"/>
                <w:lang w:val="es-CO" w:eastAsia="en-US" w:bidi="ar-SA"/>
              </w:rPr>
              <w:t>+1.8</w:t>
            </w:r>
          </w:p>
        </w:tc>
        <w:tc>
          <w:tcPr>
            <w:tcW w:w="1584"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-22.0</w:t>
            </w:r>
          </w:p>
        </w:tc>
        <w:tc>
          <w:tcPr>
            <w:tcW w:w="1584"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+9.6</w:t>
            </w:r>
          </w:p>
        </w:tc>
        <w:tc>
          <w:tcPr>
            <w:tcW w:w="1584"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+18.9</w:t>
            </w:r>
          </w:p>
        </w:tc>
      </w:tr>
      <w:tr>
        <w:trPr/>
        <w:tc>
          <w:tcPr>
            <w:tcW w:w="1584"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Sólido, lecho fijo (Inayat)</w:t>
            </w:r>
          </w:p>
        </w:tc>
        <w:tc>
          <w:tcPr>
            <w:tcW w:w="1584"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+12.3</w:t>
            </w:r>
          </w:p>
        </w:tc>
        <w:tc>
          <w:tcPr>
            <w:tcW w:w="1584"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+27.3</w:t>
            </w:r>
          </w:p>
        </w:tc>
        <w:tc>
          <w:tcPr>
            <w:tcW w:w="1584"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-20.8</w:t>
            </w:r>
          </w:p>
        </w:tc>
        <w:tc>
          <w:tcPr>
            <w:tcW w:w="1584"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-12.5</w:t>
            </w:r>
          </w:p>
        </w:tc>
      </w:tr>
      <w:tr>
        <w:trPr/>
        <w:tc>
          <w:tcPr>
            <w:tcW w:w="1584"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Líquido, rápida (Bok)</w:t>
            </w:r>
          </w:p>
        </w:tc>
        <w:tc>
          <w:tcPr>
            <w:tcW w:w="1584"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b/>
                <w:bCs/>
                <w:kern w:val="0"/>
                <w:sz w:val="22"/>
                <w:szCs w:val="22"/>
                <w:lang w:val="es-CO" w:eastAsia="en-US" w:bidi="ar-SA"/>
              </w:rPr>
              <w:t>+0.35</w:t>
            </w:r>
          </w:p>
        </w:tc>
        <w:tc>
          <w:tcPr>
            <w:tcW w:w="1584"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-2.05</w:t>
            </w:r>
          </w:p>
        </w:tc>
        <w:tc>
          <w:tcPr>
            <w:tcW w:w="1584"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-29.65</w:t>
            </w:r>
          </w:p>
        </w:tc>
        <w:tc>
          <w:tcPr>
            <w:tcW w:w="1584"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-24.35</w:t>
            </w:r>
          </w:p>
        </w:tc>
      </w:tr>
    </w:tbl>
    <w:p>
      <w:pPr>
        <w:pStyle w:val="BodyText"/>
        <w:rPr/>
      </w:pPr>
      <w:r>
        <w:rPr/>
        <w:t>¿Qué concluyo? RAC es el único que acierta en los dos regímenes. El interactivo original acierta en rápida, pero falla por completo en lenta, que es justo lo que hace mi horno. El lumped y el multicomponente no reproducen la pirólisis rápida.</w:t>
      </w:r>
    </w:p>
    <w:p>
      <w:pPr>
        <w:pStyle w:val="BodyText"/>
        <w:rPr/>
      </w:pPr>
      <w:r>
        <w:rPr/>
        <w:t>¿Dónde falla RAC? En el sólido a 300 °C sobran unos 12 puntos. Revisé qué queda sin reaccionar: 15.2 % es aceite (TGL), 6.2 % celulosa y 2.7 % lignina. La cinética de TGL de Debiagi está ajustada con aceites de soya y maíz, que se descomponen por encima de unos 350 °C. Mis hipótesis: el café de Inayat tenía menos aceite que el mío, o parte del aceite del café se evapora o se descompone antes de 300 °C. Sin un TGA de mi café no lo puedo saber. El reparto de lignina pesa poco (unos 2 puntos entre madera dura y blanda).</w:t>
      </w:r>
    </w:p>
    <w:p>
      <w:pPr>
        <w:pStyle w:val="BodyText"/>
        <w:rPr/>
      </w:pPr>
      <w:bookmarkStart w:id="13" w:name="Xd5df0d838ea4f361eeb1ea78f2848c3850e940d"/>
      <w:r>
        <w:rPr/>
        <w:t>En el caso 3, RAC da más líquido que la referencia genérica (54.7 contra ≈30 %). Considero que esto tiene sentido para el café, porque tiene 15 % de aceite que sale casi todo como líquido, pero hay que confirmarlo con el experimento; la referencia no es de café.</w:t>
      </w:r>
      <w:bookmarkEnd w:id="13"/>
    </w:p>
    <w:p>
      <w:pPr>
        <w:pStyle w:val="Heading2"/>
        <w:rPr/>
      </w:pPr>
      <w:bookmarkStart w:id="14" w:name="Xf4d21e900ec419044d0d5889fc0c711861d8b7c"/>
      <w:r>
        <w:rPr/>
        <w:t>7. ¿Qué pasa en el reactor completo?</w:t>
      </w:r>
    </w:p>
    <w:p>
      <w:pPr>
        <w:pStyle w:val="FirstParagraph"/>
        <w:rPr/>
      </w:pPr>
      <w:r>
        <w:rPr/>
        <w:t xml:space="preserve">Con el simulador 2D (canastilla de R = 25 mm y L = 20 cm, tubo de acero de 2.5 mm, 10 °C/min hasta 500 °C, 30 min, cinética RAC en régimen </w:t>
      </w:r>
      <w:r>
        <w:rPr>
          <w:rStyle w:val="VerbatimChar"/>
        </w:rPr>
        <w:t>lecho_fijo</w:t>
      </w:r>
      <w:r>
        <w:rPr/>
        <w:t>):</w:t>
      </w:r>
    </w:p>
    <w:p>
      <w:pPr>
        <w:pStyle w:val="Compact"/>
        <w:numPr>
          <w:ilvl w:val="0"/>
          <w:numId w:val="20"/>
        </w:numPr>
        <w:rPr/>
      </w:pPr>
      <w:r>
        <w:rPr/>
        <w:t>Biochar 24.9 %, bio-oil orgánico 38.9 %, gas 20.2 %, agua (humedad + reacción) 15.9 %. Balance 100.00 %.</w:t>
      </w:r>
    </w:p>
    <w:p>
      <w:pPr>
        <w:pStyle w:val="Compact"/>
        <w:numPr>
          <w:ilvl w:val="0"/>
          <w:numId w:val="21"/>
        </w:numPr>
        <w:rPr/>
      </w:pPr>
      <w:r>
        <w:rPr/>
        <w:t>El centro del lecho se queda en unos 78 °C mientras se seca (minutos 25 a 35) y después sube rápido.</w:t>
      </w:r>
    </w:p>
    <w:p>
      <w:pPr>
        <w:pStyle w:val="Compact"/>
        <w:numPr>
          <w:ilvl w:val="0"/>
          <w:numId w:val="22"/>
        </w:numPr>
        <w:rPr/>
      </w:pPr>
      <w:r>
        <w:rPr/>
        <w:t>Entre los minutos 40 y 45 el centro llega a estar más caliente que la pared. Es la carbonización secundaria, que es exotérmica; es un efecto conocido en lechos fijos y lo puedo verificar con un termopar en el centro de la canastilla.</w:t>
      </w:r>
    </w:p>
    <w:p>
      <w:pPr>
        <w:pStyle w:val="Compact"/>
        <w:numPr>
          <w:ilvl w:val="0"/>
          <w:numId w:val="23"/>
        </w:numPr>
        <w:rPr/>
      </w:pPr>
      <w:r>
        <w:rPr/>
        <w:t>Tarda unos 65 s en correr (antes unos 20 s con la cinética original).</w:t>
      </w:r>
    </w:p>
    <w:p>
      <w:pPr>
        <w:pStyle w:val="FirstParagraph"/>
        <w:rPr/>
      </w:pPr>
      <w:bookmarkStart w:id="15" w:name="Xf4d21e900ec419044d0d5889fc0c711861d8b7c"/>
      <w:r>
        <w:rPr/>
        <w:drawing>
          <wp:inline distT="0" distB="0" distL="0" distR="0">
            <wp:extent cx="5334000" cy="3294380"/>
            <wp:effectExtent l="0" t="0" r="0" b="0"/>
            <wp:docPr id="2" name="Image2" descr="Reactor 2D con cinética R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Reactor 2D con cinética RAC"/>
                    <pic:cNvPicPr>
                      <a:picLocks noChangeAspect="1" noChangeArrowheads="1"/>
                    </pic:cNvPicPr>
                  </pic:nvPicPr>
                  <pic:blipFill>
                    <a:blip r:embed="rId3"/>
                    <a:stretch>
                      <a:fillRect/>
                    </a:stretch>
                  </pic:blipFill>
                  <pic:spPr bwMode="auto">
                    <a:xfrm>
                      <a:off x="0" y="0"/>
                      <a:ext cx="5334000" cy="3294380"/>
                    </a:xfrm>
                    <a:prstGeom prst="rect">
                      <a:avLst/>
                    </a:prstGeom>
                  </pic:spPr>
                </pic:pic>
              </a:graphicData>
            </a:graphic>
          </wp:inline>
        </w:drawing>
      </w:r>
      <w:bookmarkEnd w:id="15"/>
    </w:p>
    <w:p>
      <w:pPr>
        <w:pStyle w:val="Heading2"/>
        <w:rPr/>
      </w:pPr>
      <w:bookmarkStart w:id="16" w:name="Xabe637a20ac6a0b6cfdecf703490e95fdffea51"/>
      <w:r>
        <w:rPr/>
        <w:t>8. Supuestos y lo que no sé</w:t>
      </w:r>
    </w:p>
    <w:p>
      <w:pPr>
        <w:pStyle w:val="Compact"/>
        <w:numPr>
          <w:ilvl w:val="0"/>
          <w:numId w:val="24"/>
        </w:numPr>
        <w:rPr/>
      </w:pPr>
      <w:r>
        <w:rPr/>
        <w:t xml:space="preserve">Composición del café: celulosa 12 %, hemicelulosa 35 %, lignina 28 %, lípidos 15 %, cenizas 2.31 % (base seca, GIEM + FTIR). Suma 92.31 %; el 7.7 % restante = ? (proteínas, extractivos). </w:t>
      </w:r>
      <w:r>
        <w:rPr>
          <w:b/>
          <w:bCs/>
        </w:rPr>
        <w:t>Supuesto:</w:t>
      </w:r>
      <w:r>
        <w:rPr/>
        <w:t xml:space="preserve"> lo reparto en proporción a los componentes conocidos, porque el esquema RAC no tiene cinética de proteínas.</w:t>
      </w:r>
    </w:p>
    <w:p>
      <w:pPr>
        <w:pStyle w:val="Compact"/>
        <w:numPr>
          <w:ilvl w:val="0"/>
          <w:numId w:val="25"/>
        </w:numPr>
        <w:rPr/>
      </w:pPr>
      <w:r>
        <w:rPr/>
        <w:t xml:space="preserve">Reparto de la lignina en LIG-C / LIG-H / LIG-O = ? No tengo análisis elemental (C, H, O) del café. </w:t>
      </w:r>
      <w:r>
        <w:rPr>
          <w:b/>
          <w:bCs/>
        </w:rPr>
        <w:t>Supuesto:</w:t>
      </w:r>
      <w:r>
        <w:rPr/>
        <w:t xml:space="preserve"> uso el reparto de madera dura del esquema RAC (6 / 7 / 9 de 22).</w:t>
      </w:r>
    </w:p>
    <w:p>
      <w:pPr>
        <w:pStyle w:val="Compact"/>
        <w:numPr>
          <w:ilvl w:val="0"/>
          <w:numId w:val="26"/>
        </w:numPr>
        <w:rPr/>
      </w:pPr>
      <w:r>
        <w:rPr/>
        <w:t xml:space="preserve">Acetilos de la hemicelulosa = ?. </w:t>
      </w:r>
      <w:r>
        <w:rPr>
          <w:b/>
          <w:bCs/>
        </w:rPr>
        <w:t>Supuesto:</w:t>
      </w:r>
      <w:r>
        <w:rPr/>
        <w:t xml:space="preserve"> 0.1 (valor de madera blanda), porque los galactomananos del café son poco acetilados.</w:t>
      </w:r>
    </w:p>
    <w:p>
      <w:pPr>
        <w:pStyle w:val="Compact"/>
        <w:numPr>
          <w:ilvl w:val="0"/>
          <w:numId w:val="27"/>
        </w:numPr>
        <w:rPr/>
      </w:pPr>
      <w:r>
        <w:rPr/>
        <w:t xml:space="preserve">Calor de reacción del TGL = ?. Debiagi no lo reporta. </w:t>
      </w:r>
      <w:r>
        <w:rPr>
          <w:b/>
          <w:bCs/>
        </w:rPr>
        <w:t>Supuesto:</w:t>
      </w:r>
      <w:r>
        <w:rPr/>
        <w:t xml:space="preserve"> 0.</w:t>
      </w:r>
    </w:p>
    <w:p>
      <w:pPr>
        <w:pStyle w:val="Compact"/>
        <w:numPr>
          <w:ilvl w:val="0"/>
          <w:numId w:val="28"/>
        </w:numPr>
        <w:rPr/>
      </w:pPr>
      <w:r>
        <w:rPr/>
        <w:t>No incluye el craqueo homogéneo de alquitranes en fase gas, que importa por encima de unos 500 °C (el esquema RAC tampoco lo incluye).</w:t>
      </w:r>
    </w:p>
    <w:p>
      <w:pPr>
        <w:pStyle w:val="Compact"/>
        <w:numPr>
          <w:ilvl w:val="0"/>
          <w:numId w:val="29"/>
        </w:numPr>
        <w:rPr/>
      </w:pPr>
      <w:r>
        <w:rPr/>
        <w:t>La evaporación de la humedad usa la misma ley de Arrhenius que el resto del proyecto (sin fuente).</w:t>
      </w:r>
    </w:p>
    <w:p>
      <w:pPr>
        <w:pStyle w:val="Compact"/>
        <w:numPr>
          <w:ilvl w:val="0"/>
          <w:numId w:val="30"/>
        </w:numPr>
        <w:rPr/>
      </w:pPr>
      <w:bookmarkStart w:id="17" w:name="Xabe637a20ac6a0b6cfdecf703490e95fdffea51"/>
      <w:r>
        <w:rPr/>
        <w:t>Inayat et al. reporta "~0.9 °C/min" y 30 min a 300 °C; no sé si el sólido que reporta incluye cenizas. Bok et al. no aclara en el resumen si el 54.85 % incluye agua.</w:t>
      </w:r>
      <w:bookmarkEnd w:id="17"/>
    </w:p>
    <w:p>
      <w:pPr>
        <w:pStyle w:val="Heading2"/>
        <w:rPr/>
      </w:pPr>
      <w:bookmarkStart w:id="18" w:name="Xe56b50d445db6fb3b0c88fb950ab3b3d575a8d5"/>
      <w:r>
        <w:rPr/>
        <w:t>9. Próximos pasos</w:t>
      </w:r>
    </w:p>
    <w:p>
      <w:pPr>
        <w:pStyle w:val="Compact"/>
        <w:numPr>
          <w:ilvl w:val="0"/>
          <w:numId w:val="31"/>
        </w:numPr>
        <w:rPr/>
      </w:pPr>
      <w:r>
        <w:rPr>
          <w:b/>
          <w:bCs/>
        </w:rPr>
        <w:t>TGA del café con el GIEM</w:t>
      </w:r>
      <w:r>
        <w:rPr/>
        <w:t xml:space="preserve"> (10 °C/min, N2, hasta 700 °C). Es lo que más reduce la incertidumbre: me dice cuándo se va el aceite y si sobran los 12 puntos de sólido.</w:t>
      </w:r>
    </w:p>
    <w:p>
      <w:pPr>
        <w:pStyle w:val="Compact"/>
        <w:numPr>
          <w:ilvl w:val="0"/>
          <w:numId w:val="32"/>
        </w:numPr>
        <w:rPr/>
      </w:pPr>
      <w:r>
        <w:rPr>
          <w:b/>
          <w:bCs/>
        </w:rPr>
        <w:t>Análisis elemental (C, H, O)</w:t>
      </w:r>
      <w:r>
        <w:rPr/>
        <w:t xml:space="preserve"> para calcular el reparto de lignina con el método de Ranzi/Debiagi en vez de suponerlo.</w:t>
      </w:r>
    </w:p>
    <w:p>
      <w:pPr>
        <w:pStyle w:val="Compact"/>
        <w:numPr>
          <w:ilvl w:val="0"/>
          <w:numId w:val="33"/>
        </w:numPr>
        <w:rPr/>
      </w:pPr>
      <w:r>
        <w:rPr>
          <w:b/>
          <w:bCs/>
        </w:rPr>
        <w:t>Termopar en el centro de la canastilla</w:t>
      </w:r>
      <w:r>
        <w:rPr/>
        <w:t xml:space="preserve"> para comparar con el perfil simulado (meseta de secado y exoterma).</w:t>
      </w:r>
    </w:p>
    <w:p>
      <w:pPr>
        <w:pStyle w:val="Compact"/>
        <w:numPr>
          <w:ilvl w:val="0"/>
          <w:numId w:val="34"/>
        </w:numPr>
        <w:rPr/>
      </w:pPr>
      <w:r>
        <w:rPr/>
        <w:t>Unificar los tres modelos en un solo motor con RAC y llevar todos los parámetros a la interfaz (siguiente etapa del proyecto).</w:t>
      </w:r>
    </w:p>
    <w:p>
      <w:pPr>
        <w:pStyle w:val="Compact"/>
        <w:numPr>
          <w:ilvl w:val="0"/>
          <w:numId w:val="35"/>
        </w:numPr>
        <w:rPr/>
      </w:pPr>
      <w:bookmarkStart w:id="19" w:name="Xe56b50d445db6fb3b0c88fb950ab3b3d575a8d5"/>
      <w:r>
        <w:rPr/>
        <w:t>Si las simulaciones con pared delgada se vuelven lentas, pasar la conducción a un esquema implícito.</w:t>
      </w:r>
      <w:bookmarkEnd w:id="19"/>
    </w:p>
    <w:p>
      <w:pPr>
        <w:pStyle w:val="Heading2"/>
        <w:rPr/>
      </w:pPr>
      <w:r>
        <w:rPr/>
        <w:t>Cómo correrlo</w:t>
      </w:r>
    </w:p>
    <w:p>
      <w:pPr>
        <w:pStyle w:val="FirstParagraph"/>
        <w:rPr/>
      </w:pPr>
      <w:r>
        <w:rPr/>
        <w:t xml:space="preserve">Desde VS Code basta con abrir el archivo y darle ▶. Desde la terminal, con el </w:t>
      </w:r>
      <w:r>
        <w:rPr>
          <w:rStyle w:val="VerbatimChar"/>
        </w:rPr>
        <w:t>.venv</w:t>
      </w:r>
      <w:r>
        <w:rPr/>
        <w:t xml:space="preserve"> activo:</w:t>
      </w:r>
    </w:p>
    <w:p>
      <w:pPr>
        <w:pStyle w:val="SourceCode"/>
        <w:rPr/>
      </w:pPr>
      <w:r>
        <w:rPr>
          <w:rStyle w:val="CommentTok"/>
        </w:rPr>
        <w:t># Paquetes (una sola vez)</w:t>
      </w:r>
      <w:r>
        <w:rPr/>
        <w:br/>
      </w:r>
      <w:r>
        <w:rPr>
          <w:rStyle w:val="ExtensionTok"/>
        </w:rPr>
        <w:t>pip</w:t>
      </w:r>
      <w:r>
        <w:rPr>
          <w:rStyle w:val="NormalTok"/>
        </w:rPr>
        <w:t xml:space="preserve"> install numpy scipy matplotlib pytest</w:t>
      </w:r>
      <w:r>
        <w:rPr/>
        <w:br/>
        <w:br/>
      </w:r>
      <w:r>
        <w:rPr>
          <w:rStyle w:val="CommentTok"/>
        </w:rPr>
        <w:t># Pruebas: balance de masa + cinética RAC (unos 4 min)</w:t>
      </w:r>
      <w:r>
        <w:rPr/>
        <w:br/>
      </w:r>
      <w:r>
        <w:rPr>
          <w:rStyle w:val="ExtensionTok"/>
        </w:rPr>
        <w:t>python</w:t>
      </w:r>
      <w:r>
        <w:rPr>
          <w:rStyle w:val="NormalTok"/>
        </w:rPr>
        <w:t xml:space="preserve"> </w:t>
      </w:r>
      <w:r>
        <w:rPr>
          <w:rStyle w:val="AttributeTok"/>
        </w:rPr>
        <w:t>-m</w:t>
      </w:r>
      <w:r>
        <w:rPr>
          <w:rStyle w:val="NormalTok"/>
        </w:rPr>
        <w:t xml:space="preserve"> pytest tests </w:t>
      </w:r>
      <w:r>
        <w:rPr>
          <w:rStyle w:val="AttributeTok"/>
        </w:rPr>
        <w:t>-v</w:t>
      </w:r>
      <w:r>
        <w:rPr/>
        <w:br/>
        <w:br/>
      </w:r>
      <w:r>
        <w:rPr>
          <w:rStyle w:val="CommentTok"/>
        </w:rPr>
        <w:t># Tablas y figura de la sección 6</w:t>
      </w:r>
      <w:r>
        <w:rPr/>
        <w:br/>
      </w:r>
      <w:r>
        <w:rPr>
          <w:rStyle w:val="ExtensionTok"/>
        </w:rPr>
        <w:t>python</w:t>
      </w:r>
      <w:r>
        <w:rPr>
          <w:rStyle w:val="NormalTok"/>
        </w:rPr>
        <w:t xml:space="preserve"> python/comparar_cineticas.py</w:t>
      </w:r>
      <w:r>
        <w:rPr/>
        <w:br/>
        <w:br/>
      </w:r>
      <w:r>
        <w:rPr>
          <w:rStyle w:val="CommentTok"/>
        </w:rPr>
        <w:t># Reactor 2D; Enter usa los valores por defecto</w:t>
      </w:r>
      <w:r>
        <w:rPr/>
        <w:br/>
      </w:r>
      <w:r>
        <w:rPr>
          <w:rStyle w:val="ExtensionTok"/>
        </w:rPr>
        <w:t>python</w:t>
      </w:r>
      <w:r>
        <w:rPr>
          <w:rStyle w:val="NormalTok"/>
        </w:rPr>
        <w:t xml:space="preserve"> simulador_interactivo.py</w:t>
      </w:r>
    </w:p>
    <w:p>
      <w:pPr>
        <w:pStyle w:val="FirstParagraph"/>
        <w:rPr/>
      </w:pPr>
      <w:r>
        <w:rPr/>
        <w:t>Archivos:</w:t>
      </w:r>
    </w:p>
    <w:tbl>
      <w:tblPr>
        <w:tblStyle w:val="Table"/>
        <w:tblW w:w="7920" w:type="dxa"/>
        <w:jc w:val="left"/>
        <w:tblInd w:w="113" w:type="dxa"/>
        <w:tblLayout w:type="fixed"/>
        <w:tblCellMar>
          <w:top w:w="40" w:type="dxa"/>
          <w:left w:w="108" w:type="dxa"/>
          <w:bottom w:w="40" w:type="dxa"/>
          <w:right w:w="108" w:type="dxa"/>
        </w:tblCellMar>
        <w:tblLook w:val="0020" w:noHBand="0" w:noVBand="0" w:firstColumn="0" w:lastRow="0" w:lastColumn="0" w:firstRow="1"/>
      </w:tblPr>
      <w:tblGrid>
        <w:gridCol w:w="3960"/>
        <w:gridCol w:w="3959"/>
      </w:tblGrid>
      <w:tr>
        <w:trPr>
          <w:tblHeader w:val="true"/>
        </w:trPr>
        <w:tc>
          <w:tcPr>
            <w:tcW w:w="3960" w:type="dxa"/>
            <w:tcBorders/>
            <w:shd w:color="auto" w:fill="D9E2F3" w:val="clear"/>
            <w:vAlign w:val="bottom"/>
          </w:tcPr>
          <w:p>
            <w:pPr>
              <w:pStyle w:val="Compact"/>
              <w:widowControl/>
              <w:spacing w:before="36" w:after="36"/>
              <w:jc w:val="left"/>
              <w:rPr>
                <w:rFonts w:ascii="Calibri" w:hAnsi="Calibri" w:eastAsia="Calibri" w:cs="Calibri"/>
                <w:b/>
                <w:kern w:val="0"/>
                <w:sz w:val="22"/>
                <w:szCs w:val="22"/>
                <w:lang w:val="es-CO" w:eastAsia="en-US" w:bidi="ar-SA"/>
              </w:rPr>
            </w:pPr>
            <w:r>
              <w:rPr>
                <w:rFonts w:eastAsia="Calibri" w:cs="Calibri"/>
                <w:b/>
                <w:kern w:val="0"/>
                <w:sz w:val="22"/>
                <w:szCs w:val="22"/>
                <w:lang w:val="es-CO" w:eastAsia="en-US" w:bidi="ar-SA"/>
              </w:rPr>
              <w:t>Archivo</w:t>
            </w:r>
          </w:p>
        </w:tc>
        <w:tc>
          <w:tcPr>
            <w:tcW w:w="3959" w:type="dxa"/>
            <w:tcBorders/>
            <w:shd w:color="auto" w:fill="D9E2F3" w:val="clear"/>
            <w:vAlign w:val="bottom"/>
          </w:tcPr>
          <w:p>
            <w:pPr>
              <w:pStyle w:val="Compact"/>
              <w:widowControl/>
              <w:spacing w:before="36" w:after="36"/>
              <w:jc w:val="left"/>
              <w:rPr>
                <w:rFonts w:ascii="Calibri" w:hAnsi="Calibri" w:eastAsia="Calibri" w:cs="Calibri"/>
                <w:b/>
                <w:kern w:val="0"/>
                <w:sz w:val="22"/>
                <w:szCs w:val="22"/>
                <w:lang w:val="es-CO" w:eastAsia="en-US" w:bidi="ar-SA"/>
              </w:rPr>
            </w:pPr>
            <w:r>
              <w:rPr>
                <w:rFonts w:eastAsia="Calibri" w:cs="Calibri"/>
                <w:b/>
                <w:kern w:val="0"/>
                <w:sz w:val="22"/>
                <w:szCs w:val="22"/>
                <w:lang w:val="es-CO" w:eastAsia="en-US" w:bidi="ar-SA"/>
              </w:rPr>
              <w:t>Qué tiene</w:t>
            </w:r>
          </w:p>
        </w:tc>
      </w:tr>
      <w:tr>
        <w:trPr/>
        <w:tc>
          <w:tcPr>
            <w:tcW w:w="3960" w:type="dxa"/>
            <w:tcBorders/>
          </w:tcPr>
          <w:p>
            <w:pPr>
              <w:pStyle w:val="Compact"/>
              <w:widowControl/>
              <w:spacing w:before="36" w:after="36"/>
              <w:jc w:val="left"/>
              <w:rPr>
                <w:rFonts w:ascii="Calibri" w:hAnsi="Calibri" w:eastAsia="Calibri" w:cs="Calibri"/>
                <w:kern w:val="0"/>
                <w:sz w:val="22"/>
                <w:szCs w:val="22"/>
                <w:lang w:val="es-CO" w:eastAsia="en-US" w:bidi="ar-SA"/>
              </w:rPr>
            </w:pPr>
            <w:r>
              <w:rPr>
                <w:rStyle w:val="VerbatimChar"/>
                <w:rFonts w:eastAsia="Calibri" w:cs="Calibri"/>
                <w:kern w:val="0"/>
                <w:szCs w:val="22"/>
                <w:lang w:val="es-CO" w:eastAsia="en-US" w:bidi="ar-SA"/>
              </w:rPr>
              <w:t>python/kinetics_rac.py</w:t>
            </w:r>
          </w:p>
        </w:tc>
        <w:tc>
          <w:tcPr>
            <w:tcW w:w="3959"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Cinética RAC + TGL, con fuentes y supuestos en el encabezado</w:t>
            </w:r>
          </w:p>
        </w:tc>
      </w:tr>
      <w:tr>
        <w:trPr/>
        <w:tc>
          <w:tcPr>
            <w:tcW w:w="3960" w:type="dxa"/>
            <w:tcBorders/>
          </w:tcPr>
          <w:p>
            <w:pPr>
              <w:pStyle w:val="Compact"/>
              <w:widowControl/>
              <w:spacing w:before="36" w:after="36"/>
              <w:jc w:val="left"/>
              <w:rPr>
                <w:rFonts w:ascii="Calibri" w:hAnsi="Calibri" w:eastAsia="Calibri" w:cs="Calibri"/>
                <w:kern w:val="0"/>
                <w:sz w:val="22"/>
                <w:szCs w:val="22"/>
                <w:lang w:val="es-CO" w:eastAsia="en-US" w:bidi="ar-SA"/>
              </w:rPr>
            </w:pPr>
            <w:r>
              <w:rPr>
                <w:rStyle w:val="VerbatimChar"/>
                <w:rFonts w:eastAsia="Calibri" w:cs="Calibri"/>
                <w:kern w:val="0"/>
                <w:szCs w:val="22"/>
                <w:lang w:val="es-CO" w:eastAsia="en-US" w:bidi="ar-SA"/>
              </w:rPr>
              <w:t>python/comparar_cineticas.py</w:t>
            </w:r>
          </w:p>
        </w:tc>
        <w:tc>
          <w:tcPr>
            <w:tcW w:w="3959"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Comparación 0D de las cuatro cinéticas contra los experimentos</w:t>
            </w:r>
          </w:p>
        </w:tc>
      </w:tr>
      <w:tr>
        <w:trPr/>
        <w:tc>
          <w:tcPr>
            <w:tcW w:w="3960" w:type="dxa"/>
            <w:tcBorders/>
          </w:tcPr>
          <w:p>
            <w:pPr>
              <w:pStyle w:val="Compact"/>
              <w:widowControl/>
              <w:spacing w:before="36" w:after="36"/>
              <w:jc w:val="left"/>
              <w:rPr>
                <w:rFonts w:ascii="Calibri" w:hAnsi="Calibri" w:eastAsia="Calibri" w:cs="Calibri"/>
                <w:kern w:val="0"/>
                <w:sz w:val="22"/>
                <w:szCs w:val="22"/>
                <w:lang w:val="es-CO" w:eastAsia="en-US" w:bidi="ar-SA"/>
              </w:rPr>
            </w:pPr>
            <w:r>
              <w:rPr>
                <w:rStyle w:val="VerbatimChar"/>
                <w:rFonts w:eastAsia="Calibri" w:cs="Calibri"/>
                <w:kern w:val="0"/>
                <w:szCs w:val="22"/>
                <w:lang w:val="es-CO" w:eastAsia="en-US" w:bidi="ar-SA"/>
              </w:rPr>
              <w:t>simulador_interactivo.py</w:t>
            </w:r>
          </w:p>
        </w:tc>
        <w:tc>
          <w:tcPr>
            <w:tcW w:w="3959"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 xml:space="preserve">Reactor 2D con tubo de acero; cinética </w:t>
            </w:r>
            <w:r>
              <w:rPr>
                <w:rStyle w:val="VerbatimChar"/>
                <w:rFonts w:eastAsia="Calibri" w:cs="Calibri"/>
                <w:kern w:val="0"/>
                <w:szCs w:val="22"/>
                <w:lang w:val="es-CO" w:eastAsia="en-US" w:bidi="ar-SA"/>
              </w:rPr>
              <w:t>rac</w:t>
            </w:r>
            <w:r>
              <w:rPr>
                <w:rFonts w:eastAsia="Calibri" w:cs="Calibri"/>
                <w:kern w:val="0"/>
                <w:sz w:val="22"/>
                <w:szCs w:val="22"/>
                <w:lang w:val="es-CO" w:eastAsia="en-US" w:bidi="ar-SA"/>
              </w:rPr>
              <w:t xml:space="preserve"> por defecto</w:t>
            </w:r>
          </w:p>
        </w:tc>
      </w:tr>
      <w:tr>
        <w:trPr/>
        <w:tc>
          <w:tcPr>
            <w:tcW w:w="3960" w:type="dxa"/>
            <w:tcBorders/>
          </w:tcPr>
          <w:p>
            <w:pPr>
              <w:pStyle w:val="Compact"/>
              <w:widowControl/>
              <w:spacing w:before="36" w:after="36"/>
              <w:jc w:val="left"/>
              <w:rPr>
                <w:rFonts w:ascii="Calibri" w:hAnsi="Calibri" w:eastAsia="Calibri" w:cs="Calibri"/>
                <w:kern w:val="0"/>
                <w:sz w:val="22"/>
                <w:szCs w:val="22"/>
                <w:lang w:val="es-CO" w:eastAsia="en-US" w:bidi="ar-SA"/>
              </w:rPr>
            </w:pPr>
            <w:r>
              <w:rPr>
                <w:rStyle w:val="VerbatimChar"/>
                <w:rFonts w:eastAsia="Calibri" w:cs="Calibri"/>
                <w:kern w:val="0"/>
                <w:szCs w:val="22"/>
                <w:lang w:val="es-CO" w:eastAsia="en-US" w:bidi="ar-SA"/>
              </w:rPr>
              <w:t>tests/test_balance_masa.py</w:t>
            </w:r>
          </w:p>
        </w:tc>
        <w:tc>
          <w:tcPr>
            <w:tcW w:w="3959"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16 casos de balance de masa (los tres modelos)</w:t>
            </w:r>
          </w:p>
        </w:tc>
      </w:tr>
      <w:tr>
        <w:trPr/>
        <w:tc>
          <w:tcPr>
            <w:tcW w:w="3960" w:type="dxa"/>
            <w:tcBorders/>
          </w:tcPr>
          <w:p>
            <w:pPr>
              <w:pStyle w:val="Compact"/>
              <w:widowControl/>
              <w:spacing w:before="36" w:after="36"/>
              <w:jc w:val="left"/>
              <w:rPr>
                <w:rFonts w:ascii="Calibri" w:hAnsi="Calibri" w:eastAsia="Calibri" w:cs="Calibri"/>
                <w:kern w:val="0"/>
                <w:sz w:val="22"/>
                <w:szCs w:val="22"/>
                <w:lang w:val="es-CO" w:eastAsia="en-US" w:bidi="ar-SA"/>
              </w:rPr>
            </w:pPr>
            <w:r>
              <w:rPr>
                <w:rStyle w:val="VerbatimChar"/>
                <w:rFonts w:eastAsia="Calibri" w:cs="Calibri"/>
                <w:kern w:val="0"/>
                <w:szCs w:val="22"/>
                <w:lang w:val="es-CO" w:eastAsia="en-US" w:bidi="ar-SA"/>
              </w:rPr>
              <w:t>tests/test_cinetica_rac.py</w:t>
            </w:r>
          </w:p>
        </w:tc>
        <w:tc>
          <w:tcPr>
            <w:tcW w:w="3959" w:type="dxa"/>
            <w:tcBorders/>
          </w:tcPr>
          <w:p>
            <w:pPr>
              <w:pStyle w:val="Compact"/>
              <w:widowControl/>
              <w:spacing w:before="36" w:after="36"/>
              <w:jc w:val="left"/>
              <w:rPr>
                <w:rFonts w:ascii="Calibri" w:hAnsi="Calibri" w:eastAsia="Calibri" w:cs="Calibri"/>
                <w:kern w:val="0"/>
                <w:sz w:val="22"/>
                <w:szCs w:val="22"/>
                <w:lang w:val="es-CO" w:eastAsia="en-US" w:bidi="ar-SA"/>
              </w:rPr>
            </w:pPr>
            <w:r>
              <w:rPr>
                <w:rFonts w:eastAsia="Calibri" w:cs="Calibri"/>
                <w:kern w:val="0"/>
                <w:sz w:val="22"/>
                <w:szCs w:val="22"/>
                <w:lang w:val="es-CO" w:eastAsia="en-US" w:bidi="ar-SA"/>
              </w:rPr>
              <w:t>Balance atómico, conservación de masa y validación con café</w:t>
            </w:r>
            <w:bookmarkStart w:id="20" w:name="cómo-correrlo"/>
            <w:bookmarkEnd w:id="20"/>
          </w:p>
        </w:tc>
      </w:tr>
    </w:tbl>
    <w:p>
      <w:pPr>
        <w:pStyle w:val="Heading2"/>
        <w:rPr/>
      </w:pPr>
      <w:r>
        <w:rPr/>
        <w:t>Fuentes</w:t>
      </w:r>
    </w:p>
    <w:p>
      <w:pPr>
        <w:pStyle w:val="Compact"/>
        <w:numPr>
          <w:ilvl w:val="0"/>
          <w:numId w:val="36"/>
        </w:numPr>
        <w:rPr/>
      </w:pPr>
      <w:r>
        <w:rPr/>
        <w:t xml:space="preserve">Ranzi, E. et al. (2008). Chemical Kinetics of Biomass Pyrolysis. </w:t>
      </w:r>
      <w:r>
        <w:rPr>
          <w:i/>
          <w:iCs/>
        </w:rPr>
        <w:t>Energy &amp; Fuels</w:t>
      </w:r>
      <w:r>
        <w:rPr/>
        <w:t xml:space="preserve">, 22(6), 4292-4300. doi:10.1021/ef800551t. </w:t>
      </w:r>
      <w:hyperlink r:id="rId4">
        <w:r>
          <w:rPr>
            <w:rStyle w:val="Hyperlink"/>
          </w:rPr>
          <w:t>Repositorio Polimi</w:t>
        </w:r>
      </w:hyperlink>
    </w:p>
    <w:p>
      <w:pPr>
        <w:pStyle w:val="Compact"/>
        <w:numPr>
          <w:ilvl w:val="0"/>
          <w:numId w:val="37"/>
        </w:numPr>
        <w:rPr/>
      </w:pPr>
      <w:r>
        <w:rPr/>
        <w:t xml:space="preserve">Anca-Couce, A. (2017). RAC detailed scheme for biomass pyrolysis, TU Graz. </w:t>
      </w:r>
      <w:hyperlink r:id="rId5">
        <w:r>
          <w:rPr>
            <w:rStyle w:val="Hyperlink"/>
          </w:rPr>
          <w:t>PDF</w:t>
        </w:r>
      </w:hyperlink>
      <w:r>
        <w:rPr/>
        <w:t xml:space="preserve">. Reacciones tomadas de Anca-Couce, Sommersacher y Scharler (2017), </w:t>
      </w:r>
      <w:r>
        <w:rPr>
          <w:i/>
          <w:iCs/>
        </w:rPr>
        <w:t>J. Anal. Appl. Pyrolysis</w:t>
      </w:r>
      <w:r>
        <w:rPr/>
        <w:t xml:space="preserve">, 127, 411-425, y Anca-Couce y Scharler (2017), </w:t>
      </w:r>
      <w:r>
        <w:rPr>
          <w:i/>
          <w:iCs/>
        </w:rPr>
        <w:t>Fuel</w:t>
      </w:r>
      <w:r>
        <w:rPr/>
        <w:t>, 206, 572-579.</w:t>
      </w:r>
    </w:p>
    <w:p>
      <w:pPr>
        <w:pStyle w:val="Compact"/>
        <w:numPr>
          <w:ilvl w:val="0"/>
          <w:numId w:val="38"/>
        </w:numPr>
        <w:rPr/>
      </w:pPr>
      <w:r>
        <w:rPr/>
        <w:t xml:space="preserve">Debiagi, P. et al. (2015). Extractives Extend the Applicability of Multistep Kinetic Scheme of Biomass Pyrolysis. </w:t>
      </w:r>
      <w:r>
        <w:rPr>
          <w:i/>
          <w:iCs/>
        </w:rPr>
        <w:t>Energy &amp; Fuels</w:t>
      </w:r>
      <w:r>
        <w:rPr/>
        <w:t xml:space="preserve">, 29(10), 6544-6555. doi:10.1021/acs.energyfuels.5b01753. </w:t>
      </w:r>
      <w:hyperlink r:id="rId6">
        <w:r>
          <w:rPr>
            <w:rStyle w:val="Hyperlink"/>
          </w:rPr>
          <w:t>PDF Polimi</w:t>
        </w:r>
      </w:hyperlink>
    </w:p>
    <w:p>
      <w:pPr>
        <w:pStyle w:val="Compact"/>
        <w:numPr>
          <w:ilvl w:val="0"/>
          <w:numId w:val="39"/>
        </w:numPr>
        <w:rPr/>
      </w:pPr>
      <w:r>
        <w:rPr/>
        <w:t xml:space="preserve">Inayat, A. et al. (2022). Activated Carbon Production from Coffee Waste via Slow Pyrolysis Using a Fixed Bed Reactor. </w:t>
      </w:r>
      <w:r>
        <w:rPr>
          <w:i/>
          <w:iCs/>
        </w:rPr>
        <w:t>Environmental and Climate Technologies</w:t>
      </w:r>
      <w:r>
        <w:rPr/>
        <w:t>, 26(1), 720-729. doi:10.2478/rtuect-2022-0055</w:t>
      </w:r>
    </w:p>
    <w:p>
      <w:pPr>
        <w:pStyle w:val="Compact"/>
        <w:numPr>
          <w:ilvl w:val="0"/>
          <w:numId w:val="40"/>
        </w:numPr>
        <w:rPr/>
      </w:pPr>
      <w:r>
        <w:rPr/>
        <w:t xml:space="preserve">Bok, J. P. et al. (2012). Fast pyrolysis of coffee grounds: Characteristics of product yields and biocrude oil quality. </w:t>
      </w:r>
      <w:r>
        <w:rPr>
          <w:i/>
          <w:iCs/>
        </w:rPr>
        <w:t>Energy</w:t>
      </w:r>
      <w:r>
        <w:rPr/>
        <w:t xml:space="preserve">, 47(1), 17-24. </w:t>
      </w:r>
      <w:hyperlink r:id="rId7">
        <w:r>
          <w:rPr>
            <w:rStyle w:val="Hyperlink"/>
          </w:rPr>
          <w:t>Resumen</w:t>
        </w:r>
      </w:hyperlink>
    </w:p>
    <w:p>
      <w:pPr>
        <w:pStyle w:val="Compact"/>
        <w:numPr>
          <w:ilvl w:val="0"/>
          <w:numId w:val="41"/>
        </w:numPr>
        <w:rPr/>
      </w:pPr>
      <w:r>
        <w:rPr/>
        <w:t xml:space="preserve">Comparación SFOR, CRECK y Bio-CPD (Pielsticker et al.). </w:t>
      </w:r>
      <w:hyperlink r:id="rId8">
        <w:r>
          <w:rPr>
            <w:rStyle w:val="Hyperlink"/>
          </w:rPr>
          <w:t>Registro</w:t>
        </w:r>
      </w:hyperlink>
    </w:p>
    <w:p>
      <w:pPr>
        <w:pStyle w:val="Compact"/>
        <w:numPr>
          <w:ilvl w:val="0"/>
          <w:numId w:val="42"/>
        </w:numPr>
        <w:spacing w:before="36" w:after="36"/>
        <w:rPr/>
      </w:pPr>
      <w:r>
        <w:rPr/>
        <w:t xml:space="preserve">Pirólisis rápida de borra de café en lecho fluidizado (2023). </w:t>
      </w:r>
      <w:r>
        <w:rPr>
          <w:i/>
          <w:iCs/>
        </w:rPr>
        <w:t>Case Studies in Chemical and Environmental Engineering</w:t>
      </w:r>
      <w:r>
        <w:rPr/>
        <w:t xml:space="preserve">. </w:t>
      </w:r>
      <w:hyperlink r:id="rId9">
        <w:r>
          <w:rPr>
            <w:rStyle w:val="Hyperlink"/>
          </w:rPr>
          <w:t>DOAJ</w:t>
        </w:r>
      </w:hyperlink>
      <w:bookmarkEnd w:id="0"/>
    </w:p>
    <w:sectPr>
      <w:type w:val="nextPage"/>
      <w:pgSz w:w="12240" w:h="15840"/>
      <w:pgMar w:left="1440" w:right="1440" w:gutter="0" w:header="0" w:top="1440"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
    <w:lvlOverride w:ilvl="0">
      <w:startOverride w:val="1"/>
    </w:lvlOverride>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1"/>
    <w:lvlOverride w:ilvl="0">
      <w:startOverride w:val="1"/>
    </w:lvlOverride>
  </w:num>
  <w:num w:numId="32">
    <w:abstractNumId w:val="1"/>
  </w:num>
  <w:num w:numId="33">
    <w:abstractNumId w:val="1"/>
  </w:num>
  <w:num w:numId="34">
    <w:abstractNumId w:val="1"/>
  </w:num>
  <w:num w:numId="35">
    <w:abstractNumId w:val="1"/>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CO"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libri" w:hAnsi="Calibri" w:eastAsia="Calibri" w:cs="Calibri"/>
      <w:color w:val="auto"/>
      <w:kern w:val="0"/>
      <w:sz w:val="22"/>
      <w:szCs w:val="22"/>
      <w:lang w:val="es-CO"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Calibri" w:cs="Calibri"/>
      <w:b/>
      <w:bCs/>
      <w:color w:val="1F3864"/>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Calibri" w:cs="Calibri"/>
      <w:b/>
      <w:bCs/>
      <w:color w:val="1F3864"/>
      <w:sz w:val="26"/>
      <w:szCs w:val="26"/>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Calibri" w:cs="Calibri"/>
      <w:b/>
      <w:bCs/>
      <w:color w:val="1F3864"/>
      <w:sz w:val="23"/>
      <w:szCs w:val="23"/>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Calibri" w:cs="Calibri"/>
      <w:bCs/>
      <w:i/>
      <w:color w:val="1F3864"/>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Calibri" w:cs="Calibri"/>
      <w:iCs/>
      <w:color w:val="1F3864"/>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Calibri" w:cs="Calibri"/>
      <w:color w:val="1F3864"/>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Calibri" w:cs="Calibri"/>
      <w:color w:val="1F3864"/>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Calibri" w:cs="Calibri"/>
      <w:color w:val="1F3864"/>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Calibri" w:cs="Calibri"/>
      <w:color w:val="1F3864"/>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18"/>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val="1F3864"/>
    </w:rPr>
  </w:style>
  <w:style w:type="character" w:styleId="KeywordTok" w:customStyle="1">
    <w:name w:val="KeywordTok"/>
    <w:basedOn w:val="VerbatimChar"/>
    <w:qFormat/>
    <w:rPr>
      <w:b/>
      <w:color w:val="204A87"/>
      <w:shd w:fill="F8F8F8" w:val="clear"/>
    </w:rPr>
  </w:style>
  <w:style w:type="character" w:styleId="DataTypeTok" w:customStyle="1">
    <w:name w:val="DataTypeTok"/>
    <w:basedOn w:val="VerbatimChar"/>
    <w:qFormat/>
    <w:rPr>
      <w:color w:val="204A87"/>
      <w:shd w:fill="F8F8F8" w:val="clear"/>
    </w:rPr>
  </w:style>
  <w:style w:type="character" w:styleId="DecValTok" w:customStyle="1">
    <w:name w:val="DecValTok"/>
    <w:basedOn w:val="VerbatimChar"/>
    <w:qFormat/>
    <w:rPr>
      <w:color w:val="0000CF"/>
      <w:shd w:fill="F8F8F8" w:val="clear"/>
    </w:rPr>
  </w:style>
  <w:style w:type="character" w:styleId="BaseNTok" w:customStyle="1">
    <w:name w:val="BaseNTok"/>
    <w:basedOn w:val="VerbatimChar"/>
    <w:qFormat/>
    <w:rPr>
      <w:color w:val="0000CF"/>
      <w:shd w:fill="F8F8F8" w:val="clear"/>
    </w:rPr>
  </w:style>
  <w:style w:type="character" w:styleId="FloatTok" w:customStyle="1">
    <w:name w:val="FloatTok"/>
    <w:basedOn w:val="VerbatimChar"/>
    <w:qFormat/>
    <w:rPr>
      <w:color w:val="0000CF"/>
      <w:shd w:fill="F8F8F8" w:val="clear"/>
    </w:rPr>
  </w:style>
  <w:style w:type="character" w:styleId="ConstantTok" w:customStyle="1">
    <w:name w:val="ConstantTok"/>
    <w:basedOn w:val="VerbatimChar"/>
    <w:qFormat/>
    <w:rPr>
      <w:color w:val="8F5902"/>
      <w:shd w:fill="F8F8F8" w:val="clear"/>
    </w:rPr>
  </w:style>
  <w:style w:type="character" w:styleId="CharTok" w:customStyle="1">
    <w:name w:val="CharTok"/>
    <w:basedOn w:val="VerbatimChar"/>
    <w:qFormat/>
    <w:rPr>
      <w:color w:val="4E9A06"/>
      <w:shd w:fill="F8F8F8" w:val="clear"/>
    </w:rPr>
  </w:style>
  <w:style w:type="character" w:styleId="SpecialCharTok" w:customStyle="1">
    <w:name w:val="SpecialCharTok"/>
    <w:basedOn w:val="VerbatimChar"/>
    <w:qFormat/>
    <w:rPr>
      <w:b/>
      <w:color w:val="CE5C00"/>
      <w:shd w:fill="F8F8F8" w:val="clear"/>
    </w:rPr>
  </w:style>
  <w:style w:type="character" w:styleId="StringTok" w:customStyle="1">
    <w:name w:val="StringTok"/>
    <w:basedOn w:val="VerbatimChar"/>
    <w:qFormat/>
    <w:rPr>
      <w:color w:val="4E9A06"/>
      <w:shd w:fill="F8F8F8" w:val="clear"/>
    </w:rPr>
  </w:style>
  <w:style w:type="character" w:styleId="VerbatimStringTok" w:customStyle="1">
    <w:name w:val="VerbatimStringTok"/>
    <w:basedOn w:val="VerbatimChar"/>
    <w:qFormat/>
    <w:rPr>
      <w:color w:val="4E9A06"/>
      <w:shd w:fill="F8F8F8" w:val="clear"/>
    </w:rPr>
  </w:style>
  <w:style w:type="character" w:styleId="SpecialStringTok" w:customStyle="1">
    <w:name w:val="SpecialStringTok"/>
    <w:basedOn w:val="VerbatimChar"/>
    <w:qFormat/>
    <w:rPr>
      <w:color w:val="4E9A06"/>
      <w:shd w:fill="F8F8F8" w:val="clear"/>
    </w:rPr>
  </w:style>
  <w:style w:type="character" w:styleId="ImportTok" w:customStyle="1">
    <w:name w:val="ImportTok"/>
    <w:basedOn w:val="VerbatimChar"/>
    <w:qFormat/>
    <w:rPr>
      <w:shd w:fill="F8F8F8" w:val="clear"/>
    </w:rPr>
  </w:style>
  <w:style w:type="character" w:styleId="CommentTok" w:customStyle="1">
    <w:name w:val="CommentTok"/>
    <w:basedOn w:val="VerbatimChar"/>
    <w:qFormat/>
    <w:rPr>
      <w:i/>
      <w:color w:val="8F5902"/>
      <w:shd w:fill="F8F8F8" w:val="clear"/>
    </w:rPr>
  </w:style>
  <w:style w:type="character" w:styleId="DocumentationTok" w:customStyle="1">
    <w:name w:val="DocumentationTok"/>
    <w:basedOn w:val="VerbatimChar"/>
    <w:qFormat/>
    <w:rPr>
      <w:b/>
      <w:i/>
      <w:color w:val="8F5902"/>
      <w:shd w:fill="F8F8F8" w:val="clear"/>
    </w:rPr>
  </w:style>
  <w:style w:type="character" w:styleId="AnnotationTok" w:customStyle="1">
    <w:name w:val="AnnotationTok"/>
    <w:basedOn w:val="VerbatimChar"/>
    <w:qFormat/>
    <w:rPr>
      <w:b/>
      <w:i/>
      <w:color w:val="8F5902"/>
      <w:shd w:fill="F8F8F8" w:val="clear"/>
    </w:rPr>
  </w:style>
  <w:style w:type="character" w:styleId="CommentVarTok" w:customStyle="1">
    <w:name w:val="CommentVarTok"/>
    <w:basedOn w:val="VerbatimChar"/>
    <w:qFormat/>
    <w:rPr>
      <w:b/>
      <w:i/>
      <w:color w:val="8F5902"/>
      <w:shd w:fill="F8F8F8" w:val="clear"/>
    </w:rPr>
  </w:style>
  <w:style w:type="character" w:styleId="OtherTok" w:customStyle="1">
    <w:name w:val="OtherTok"/>
    <w:basedOn w:val="VerbatimChar"/>
    <w:qFormat/>
    <w:rPr>
      <w:color w:val="8F5902"/>
      <w:shd w:fill="F8F8F8" w:val="clear"/>
    </w:rPr>
  </w:style>
  <w:style w:type="character" w:styleId="FunctionTok" w:customStyle="1">
    <w:name w:val="FunctionTok"/>
    <w:basedOn w:val="VerbatimChar"/>
    <w:qFormat/>
    <w:rPr>
      <w:b/>
      <w:color w:val="204A87"/>
      <w:shd w:fill="F8F8F8" w:val="clear"/>
    </w:rPr>
  </w:style>
  <w:style w:type="character" w:styleId="VariableTok" w:customStyle="1">
    <w:name w:val="VariableTok"/>
    <w:basedOn w:val="VerbatimChar"/>
    <w:qFormat/>
    <w:rPr>
      <w:color w:val="000000"/>
      <w:shd w:fill="F8F8F8" w:val="clear"/>
    </w:rPr>
  </w:style>
  <w:style w:type="character" w:styleId="ControlFlowTok" w:customStyle="1">
    <w:name w:val="ControlFlowTok"/>
    <w:basedOn w:val="VerbatimChar"/>
    <w:qFormat/>
    <w:rPr>
      <w:b/>
      <w:color w:val="204A87"/>
      <w:shd w:fill="F8F8F8" w:val="clear"/>
    </w:rPr>
  </w:style>
  <w:style w:type="character" w:styleId="OperatorTok" w:customStyle="1">
    <w:name w:val="OperatorTok"/>
    <w:basedOn w:val="VerbatimChar"/>
    <w:qFormat/>
    <w:rPr>
      <w:b/>
      <w:color w:val="CE5C00"/>
      <w:shd w:fill="F8F8F8" w:val="clear"/>
    </w:rPr>
  </w:style>
  <w:style w:type="character" w:styleId="BuiltInTok" w:customStyle="1">
    <w:name w:val="BuiltInTok"/>
    <w:basedOn w:val="VerbatimChar"/>
    <w:qFormat/>
    <w:rPr>
      <w:shd w:fill="F8F8F8" w:val="clear"/>
    </w:rPr>
  </w:style>
  <w:style w:type="character" w:styleId="ExtensionTok" w:customStyle="1">
    <w:name w:val="ExtensionTok"/>
    <w:basedOn w:val="VerbatimChar"/>
    <w:qFormat/>
    <w:rPr>
      <w:shd w:fill="F8F8F8" w:val="clear"/>
    </w:rPr>
  </w:style>
  <w:style w:type="character" w:styleId="PreprocessorTok" w:customStyle="1">
    <w:name w:val="PreprocessorTok"/>
    <w:basedOn w:val="VerbatimChar"/>
    <w:qFormat/>
    <w:rPr>
      <w:i/>
      <w:color w:val="8F5902"/>
      <w:shd w:fill="F8F8F8" w:val="clear"/>
    </w:rPr>
  </w:style>
  <w:style w:type="character" w:styleId="AttributeTok" w:customStyle="1">
    <w:name w:val="AttributeTok"/>
    <w:basedOn w:val="VerbatimChar"/>
    <w:qFormat/>
    <w:rPr>
      <w:color w:val="204A87"/>
      <w:shd w:fill="F8F8F8" w:val="clear"/>
    </w:rPr>
  </w:style>
  <w:style w:type="character" w:styleId="RegionMarkerTok" w:customStyle="1">
    <w:name w:val="RegionMarkerTok"/>
    <w:basedOn w:val="VerbatimChar"/>
    <w:qFormat/>
    <w:rPr>
      <w:shd w:fill="F8F8F8" w:val="clear"/>
    </w:rPr>
  </w:style>
  <w:style w:type="character" w:styleId="InformationTok" w:customStyle="1">
    <w:name w:val="InformationTok"/>
    <w:basedOn w:val="VerbatimChar"/>
    <w:qFormat/>
    <w:rPr>
      <w:b/>
      <w:i/>
      <w:color w:val="8F5902"/>
      <w:shd w:fill="F8F8F8" w:val="clear"/>
    </w:rPr>
  </w:style>
  <w:style w:type="character" w:styleId="WarningTok" w:customStyle="1">
    <w:name w:val="WarningTok"/>
    <w:basedOn w:val="VerbatimChar"/>
    <w:qFormat/>
    <w:rPr>
      <w:b/>
      <w:i/>
      <w:color w:val="8F5902"/>
      <w:shd w:fill="F8F8F8" w:val="clear"/>
    </w:rPr>
  </w:style>
  <w:style w:type="character" w:styleId="AlertTok" w:customStyle="1">
    <w:name w:val="AlertTok"/>
    <w:basedOn w:val="VerbatimChar"/>
    <w:qFormat/>
    <w:rPr>
      <w:color w:val="EF2929"/>
      <w:shd w:fill="F8F8F8" w:val="clear"/>
    </w:rPr>
  </w:style>
  <w:style w:type="character" w:styleId="ErrorTok" w:customStyle="1">
    <w:name w:val="ErrorTok"/>
    <w:basedOn w:val="VerbatimChar"/>
    <w:qFormat/>
    <w:rPr>
      <w:b/>
      <w:color w:val="A40000"/>
      <w:shd w:fill="F8F8F8" w:val="clear"/>
    </w:rPr>
  </w:style>
  <w:style w:type="character" w:styleId="NormalTok" w:customStyle="1">
    <w:name w:val="NormalTok"/>
    <w:basedOn w:val="VerbatimChar"/>
    <w:qFormat/>
    <w:rPr>
      <w:shd w:fill="F8F8F8" w:val="clea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lineRule="auto" w:line="276" w:before="60" w:after="12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Calibri" w:cs="Calibri"/>
      <w:b/>
      <w:bCs/>
      <w:color w:themeColor="accent1" w:themeShade="b5" w:val="345A8A"/>
      <w:sz w:val="40"/>
      <w:szCs w:val="40"/>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libri" w:hAnsi="Calibri" w:eastAsia="Calibri" w:cs="Calibri"/>
      <w:color w:val="auto"/>
      <w:kern w:val="0"/>
      <w:sz w:val="22"/>
      <w:szCs w:val="22"/>
      <w:lang w:val="es-CO" w:eastAsia="en-US" w:bidi="ar-SA"/>
    </w:rPr>
  </w:style>
  <w:style w:type="paragraph" w:styleId="Date">
    <w:name w:val="Date"/>
    <w:next w:val="BodyText"/>
    <w:qFormat/>
    <w:pPr>
      <w:keepNext w:val="true"/>
      <w:keepLines/>
      <w:widowControl/>
      <w:bidi w:val="0"/>
      <w:spacing w:before="0" w:after="200"/>
      <w:jc w:val="center"/>
    </w:pPr>
    <w:rPr>
      <w:rFonts w:ascii="Calibri" w:hAnsi="Calibri" w:eastAsia="Calibri" w:cs="Calibri"/>
      <w:color w:val="auto"/>
      <w:kern w:val="0"/>
      <w:sz w:val="22"/>
      <w:szCs w:val="22"/>
      <w:lang w:val="es-CO"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Calibri" w:cs="Calibri"/>
      <w:b w:val="false"/>
      <w:bCs w:val="false"/>
      <w:color w:themeColor="accent1" w:themeShade="bf" w:val="365F91"/>
    </w:rPr>
  </w:style>
  <w:style w:type="paragraph" w:styleId="SourceCode" w:customStyle="1">
    <w:name w:val="Source Code"/>
    <w:basedOn w:val="Normal"/>
    <w:link w:val="VerbatimChar"/>
    <w:qFormat/>
    <w:pPr>
      <w:shd w:val="clear" w:color="auto" w:fill="F2F2F2"/>
      <w:spacing w:before="0" w:after="0"/>
      <w:ind w:left="144"/>
    </w:pPr>
    <w:rPr>
      <w:rFonts w:ascii="Consolas" w:hAnsi="Consolas"/>
      <w:sz w:val="16"/>
    </w:rPr>
  </w:style>
  <w:style w:type="table" w:default="1" w:styleId="Table">
    <w:name w:val="Table"/>
    <w:basedOn w:val="TableNormal"/>
    <w:semiHidden/>
    <w:unhideWhenUsed/>
    <w:qFormat/>
    <w:tblP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40" w:type="dxa"/>
        <w:left w:w="108" w:type="dxa"/>
        <w:bottom w:w="40" w:type="dxa"/>
        <w:right w:w="108" w:type="dxa"/>
      </w:tblCellMar>
    </w:tblPr>
    <w:tblStylePr w:type="firstRow">
      <w:rPr>
        <w:b/>
      </w:rPr>
      <w:tblPr/>
      <w:tcPr>
        <w:shd w:val="clear" w:color="auto" w:fill="D9E2F3"/>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re.public.polimi.it/handle/11311/548367" TargetMode="External"/><Relationship Id="rId5" Type="http://schemas.openxmlformats.org/officeDocument/2006/relationships/hyperlink" Target="https://www.tugraz.at/fileadmin/user_upload/Institute/IWT/AG_EG/Biomasse/RAC_pyrolysis_scheme_2017.pdf" TargetMode="External"/><Relationship Id="rId6" Type="http://schemas.openxmlformats.org/officeDocument/2006/relationships/hyperlink" Target="https://re.public.polimi.it/retrieve/handle/11311/970707/432893/Extractives%20Extend%20the%20Applicability%20of%20Multistep%20Kinetic%20Scheme_11311-970707_Frassoldati.pdf" TargetMode="External"/><Relationship Id="rId7" Type="http://schemas.openxmlformats.org/officeDocument/2006/relationships/hyperlink" Target="https://ideas.repec.org/a/eee/energy/v47y2012i1p17-24.html" TargetMode="External"/><Relationship Id="rId8" Type="http://schemas.openxmlformats.org/officeDocument/2006/relationships/hyperlink" Target="https://research.nottingham.edu.cn/en/publications/comparative-analysis-of-pyrolysis-models-including-sfor-creck-and/" TargetMode="External"/><Relationship Id="rId9" Type="http://schemas.openxmlformats.org/officeDocument/2006/relationships/hyperlink" Target="https://doaj.org/article/14a71d81252747deafb29b606f68c9b9"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2026-10-28T20:29:43Z</dcterms:created>
  <dc:creator/>
  <dc:description/>
  <dc:language>en-US</dc:language>
  <cp:lastModifiedBy/>
  <dcterms:modified xsi:type="dcterms:W3CDTF">2026-10-28T20:29:43Z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