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1C6F" w14:textId="77777777" w:rsidR="0071106C" w:rsidRDefault="00000000">
      <w:pPr>
        <w:pStyle w:val="Ttulo"/>
        <w:spacing w:after="100"/>
      </w:pPr>
      <w:r>
        <w:t>Desafio técnico — Analista de BI Jr</w:t>
      </w:r>
    </w:p>
    <w:p w14:paraId="665584DF" w14:textId="77777777" w:rsidR="0071106C" w:rsidRDefault="00000000">
      <w:pPr>
        <w:spacing w:after="160"/>
      </w:pPr>
      <w:r>
        <w:rPr>
          <w:i/>
          <w:iCs/>
          <w:color w:val="555555"/>
        </w:rPr>
        <w:t>Explicação do processo, das decisões tomadas e do porquê de cada uma delas.</w:t>
      </w:r>
    </w:p>
    <w:p w14:paraId="79D741D7" w14:textId="77777777" w:rsidR="0071106C" w:rsidRDefault="00000000">
      <w:pPr>
        <w:pStyle w:val="Ttulo1"/>
        <w:spacing w:before="300" w:after="150"/>
      </w:pPr>
      <w:r>
        <w:t>Visão geral</w:t>
      </w:r>
    </w:p>
    <w:p w14:paraId="5205C559" w14:textId="77777777" w:rsidR="0071106C" w:rsidRDefault="00000000">
      <w:pPr>
        <w:spacing w:after="160"/>
      </w:pPr>
      <w:r>
        <w:t xml:space="preserve">O desafio pedia para transformar quatro bases brutas (cadastro de pessoas, empresas, operadoras e um histórico de contas médicas com 7 milhões de linhas) em um modelo de dados capaz de responder cinco perguntas de negócio, comparando sempre 2023 contra 2024. O trabalho foi dividido em cinco etapas: enriquecimento dos dados de prestador via API pública, modelagem em Star </w:t>
      </w:r>
      <w:proofErr w:type="spellStart"/>
      <w:r>
        <w:t>Schema</w:t>
      </w:r>
      <w:proofErr w:type="spellEnd"/>
      <w:r>
        <w:t>, padronização em formato otimizado, carga em banco relacional com as queries de resposta, e por fim um dashboard em Power BI.</w:t>
      </w:r>
    </w:p>
    <w:p w14:paraId="4270C511" w14:textId="77777777" w:rsidR="0071106C" w:rsidRDefault="00000000">
      <w:pPr>
        <w:spacing w:after="160"/>
      </w:pPr>
      <w:r>
        <w:t>O raciocínio abaixo segue essa ordem, mas o ponto mais importante para a entrevista não é a sequência em si — é entender que quase toda decisão aqui nasceu de um problema real encontrado nos dados, não de uma escolha arbitrária.</w:t>
      </w:r>
    </w:p>
    <w:p w14:paraId="7B44FFEE" w14:textId="77777777" w:rsidR="0071106C" w:rsidRDefault="00000000">
      <w:pPr>
        <w:pStyle w:val="Ttulo1"/>
        <w:spacing w:before="300" w:after="150"/>
      </w:pPr>
      <w:r>
        <w:t>1. Verificação inicial dos dados</w:t>
      </w:r>
    </w:p>
    <w:p w14:paraId="211B36BD" w14:textId="77777777" w:rsidR="0071106C" w:rsidRDefault="00000000">
      <w:pPr>
        <w:spacing w:after="160"/>
      </w:pPr>
      <w:r>
        <w:t>Antes de escrever qualquer linha de código, os quatro arquivos recebidos foram inspecionados individualmente. Essa inspeção revelou duas coisas que mudaram o rumo do trabalho.</w:t>
      </w:r>
    </w:p>
    <w:p w14:paraId="2C0FAC14" w14:textId="77777777" w:rsidR="0071106C" w:rsidRDefault="00000000">
      <w:pPr>
        <w:spacing w:after="160"/>
      </w:pPr>
      <w:r>
        <w:rPr>
          <w:b/>
          <w:bCs/>
        </w:rPr>
        <w:t xml:space="preserve">Um arquivo duplicado e inconsistente. </w:t>
      </w:r>
      <w:r>
        <w:t>A pasta trazia dois arquivos de cadastro de pessoas: um ".</w:t>
      </w:r>
      <w:proofErr w:type="spellStart"/>
      <w:r>
        <w:t>csv</w:t>
      </w:r>
      <w:proofErr w:type="spellEnd"/>
      <w:r>
        <w:t>" e um ".</w:t>
      </w:r>
      <w:proofErr w:type="spellStart"/>
      <w:r>
        <w:t>xlsx</w:t>
      </w:r>
      <w:proofErr w:type="spellEnd"/>
      <w:r>
        <w:t>". O ".</w:t>
      </w:r>
      <w:proofErr w:type="spellStart"/>
      <w:r>
        <w:t>xlsx</w:t>
      </w:r>
      <w:proofErr w:type="spellEnd"/>
      <w:r>
        <w:t>", na verdade, era um CSV disfarçado (o Excel nem conseguia abri-lo) e continha uma base de dados completamente diferente — os códigos de pessoa dele não batiam com nenhuma linha da base de contas médicas. Cruzando os identificadores dos dois arquivos com a base fato, ficou claro que só o ".</w:t>
      </w:r>
      <w:proofErr w:type="spellStart"/>
      <w:r>
        <w:t>csv</w:t>
      </w:r>
      <w:proofErr w:type="spellEnd"/>
      <w:r>
        <w:t>" original era o correto. Ignorar esse arquivo espúrio evitou construir todo o modelo em cima da base errada.</w:t>
      </w:r>
    </w:p>
    <w:p w14:paraId="704956AD" w14:textId="77777777" w:rsidR="0071106C" w:rsidRDefault="00000000">
      <w:pPr>
        <w:spacing w:after="160"/>
      </w:pPr>
      <w:r>
        <w:rPr>
          <w:b/>
          <w:bCs/>
        </w:rPr>
        <w:t xml:space="preserve">Datas sentinela camufladas. </w:t>
      </w:r>
      <w:r>
        <w:t>Nem toda data de nascimento inválida vinha vazia. Duas datas específicas — 01/01/1900 e 31/12/9999 — apareciam centenas de vezes cada, sendo valores clássicos de sistemas legados para indicar "campo não preenchido" e "sem data definida", respectivamente. Sem esse cuidado, uma parte da base teria idades calculadas em cima de datas fictícias (mais de 100 anos, ou negativas), distorcendo silenciosamente a faixa etária.</w:t>
      </w:r>
    </w:p>
    <w:p w14:paraId="488F1BC4" w14:textId="77777777" w:rsidR="0071106C" w:rsidRDefault="00000000">
      <w:pPr>
        <w:pStyle w:val="Ttulo1"/>
        <w:spacing w:before="300" w:after="150"/>
      </w:pPr>
      <w:r>
        <w:t xml:space="preserve">2. Enriquecimento de dados (Python + </w:t>
      </w:r>
      <w:proofErr w:type="spellStart"/>
      <w:r>
        <w:t>BrasilAPI</w:t>
      </w:r>
      <w:proofErr w:type="spellEnd"/>
      <w:r>
        <w:t>)</w:t>
      </w:r>
    </w:p>
    <w:p w14:paraId="3528FDDA" w14:textId="77777777" w:rsidR="0071106C" w:rsidRDefault="00000000">
      <w:pPr>
        <w:spacing w:after="160"/>
      </w:pPr>
      <w:r>
        <w:t xml:space="preserve">A base de contas médicas trazia o CNPJ do prestador de serviço, mas não a cidade ou o estado onde ele atua — informação necessária para responder a primeira pergunta do questionário. A </w:t>
      </w:r>
      <w:proofErr w:type="spellStart"/>
      <w:r>
        <w:t>BrasilAPI</w:t>
      </w:r>
      <w:proofErr w:type="spellEnd"/>
      <w:r>
        <w:t xml:space="preserve"> permite consultar um CNPJ e obter, entre outros dados, o CEP, o município e a UF do estabelecimento.</w:t>
      </w:r>
    </w:p>
    <w:p w14:paraId="009F7143" w14:textId="77777777" w:rsidR="0071106C" w:rsidRDefault="00000000">
      <w:pPr>
        <w:spacing w:after="160"/>
      </w:pPr>
      <w:r>
        <w:t xml:space="preserve">Dos 7 milhões de linhas da base, existiam apenas 34.145 </w:t>
      </w:r>
      <w:proofErr w:type="spellStart"/>
      <w:r>
        <w:t>CNPJs</w:t>
      </w:r>
      <w:proofErr w:type="spellEnd"/>
      <w:r>
        <w:t xml:space="preserve"> de prestador distintos — foi esse número menor que precisou ser consultado, não as 7 milhões de linhas inteiras.</w:t>
      </w:r>
    </w:p>
    <w:p w14:paraId="7FC8BB60" w14:textId="77777777" w:rsidR="0071106C" w:rsidRDefault="00000000">
      <w:pPr>
        <w:pStyle w:val="Ttulo2"/>
        <w:spacing w:before="200" w:after="100"/>
      </w:pPr>
      <w:r>
        <w:t>O obstáculo: limite de requisições da API pública</w:t>
      </w:r>
    </w:p>
    <w:p w14:paraId="52C9603D" w14:textId="77777777" w:rsidR="0071106C" w:rsidRDefault="00000000">
      <w:pPr>
        <w:spacing w:after="160"/>
      </w:pPr>
      <w:r>
        <w:t xml:space="preserve">A </w:t>
      </w:r>
      <w:proofErr w:type="spellStart"/>
      <w:r>
        <w:t>BrasilAPI</w:t>
      </w:r>
      <w:proofErr w:type="spellEnd"/>
      <w:r>
        <w:t xml:space="preserve"> é gratuita e sem autenticação, o que significa limite de requisições por período. Consultar os 34.145 </w:t>
      </w:r>
      <w:proofErr w:type="spellStart"/>
      <w:r>
        <w:t>CNPJs</w:t>
      </w:r>
      <w:proofErr w:type="spellEnd"/>
      <w:r>
        <w:t xml:space="preserve"> de forma sequencial levaria muitas horas, e tentativas de acelerar demais o processo (aumentando o número de consultas simultâneas) resultaram em bloqueio temporário do acesso.</w:t>
      </w:r>
    </w:p>
    <w:p w14:paraId="127DEE09" w14:textId="77777777" w:rsidR="0071106C" w:rsidRDefault="00000000">
      <w:pPr>
        <w:pStyle w:val="Ttulo2"/>
        <w:spacing w:before="200" w:after="100"/>
      </w:pPr>
      <w:r>
        <w:t>A solução: priorização por concentração de valor</w:t>
      </w:r>
    </w:p>
    <w:p w14:paraId="04219C00" w14:textId="77777777" w:rsidR="0071106C" w:rsidRDefault="00000000">
      <w:pPr>
        <w:spacing w:after="160"/>
      </w:pPr>
      <w:r>
        <w:t xml:space="preserve">Em vez de insistir em enriquecer os 34.145 </w:t>
      </w:r>
      <w:proofErr w:type="spellStart"/>
      <w:r>
        <w:t>CNPJs</w:t>
      </w:r>
      <w:proofErr w:type="spellEnd"/>
      <w:r>
        <w:t xml:space="preserve"> um a um, foi feita uma análise de concentração de valor financeiro: somando o valor de todas as contas médicas por prestador, ficou evidente que uma fração pequena dos prestadores concentra a maior parte do dinheiro movimentado — um padrão comum em bases de saúde suplementar, onde grandes hospitais respondem por volume desproporcional em relação a clínicas pequenas.</w:t>
      </w:r>
    </w:p>
    <w:p w14:paraId="186A5F7A" w14:textId="77777777" w:rsidR="0071106C" w:rsidRDefault="00000000">
      <w:pPr>
        <w:spacing w:after="160"/>
      </w:pPr>
      <w:r>
        <w:lastRenderedPageBreak/>
        <w:t>Concretamente: 453 prestadores (1,3% do total) já respondiam por 80% do valor da base, e cerca de 3.000 prestadores cobriam mais de 95%. A partir dessa constatação, o enriquecimento foi priorizado para os prestadores de maior valor, em vez de seguir uma ordem arbitrária (alfabética, por exemplo).</w:t>
      </w:r>
    </w:p>
    <w:p w14:paraId="43DD9CFE" w14:textId="77777777" w:rsidR="0071106C" w:rsidRDefault="00000000">
      <w:pPr>
        <w:spacing w:after="160"/>
      </w:pPr>
      <w:r>
        <w:t xml:space="preserve">Resultado final: 14.553 dos 34.145 </w:t>
      </w:r>
      <w:proofErr w:type="spellStart"/>
      <w:r>
        <w:t>CNPJs</w:t>
      </w:r>
      <w:proofErr w:type="spellEnd"/>
      <w:r>
        <w:t xml:space="preserve"> foram enriquecidos com sucesso (42,6% em quantidade), mas esses prestadores respondem por 93,1% do valor financeiro total da base. Os </w:t>
      </w:r>
      <w:proofErr w:type="spellStart"/>
      <w:r>
        <w:t>CNPJs</w:t>
      </w:r>
      <w:proofErr w:type="spellEnd"/>
      <w:r>
        <w:t xml:space="preserve"> restantes permanecem no modelo — para não quebrar a integridade da tabela fato — mas aparecem com cidade e estado em branco, claramente identificados como "não processado".</w:t>
      </w:r>
    </w:p>
    <w:p w14:paraId="27DC95AA" w14:textId="77777777" w:rsidR="0071106C" w:rsidRDefault="00000000">
      <w:pPr>
        <w:spacing w:after="160"/>
      </w:pPr>
      <w:r>
        <w:t xml:space="preserve">Esse é o tipo de decisão que vale destacar em entrevista: diante de uma limitação real de infraestrutura (rate </w:t>
      </w:r>
      <w:proofErr w:type="spellStart"/>
      <w:r>
        <w:t>limit</w:t>
      </w:r>
      <w:proofErr w:type="spellEnd"/>
      <w:r>
        <w:t xml:space="preserve"> de uma API gratuita) e de um prazo, a resposta não foi ignorar o problema nem tentar forçar uma solução ilimitada — foi medir o impacto de cada alternativa e escolher a que entrega o maior retorno de cobertura no tempo disponível, documentando exatamente o que ficou de fora e por quê.</w:t>
      </w:r>
    </w:p>
    <w:p w14:paraId="546668FB" w14:textId="77777777" w:rsidR="0071106C" w:rsidRDefault="00000000">
      <w:pPr>
        <w:pStyle w:val="Ttulo1"/>
        <w:spacing w:before="300" w:after="150"/>
      </w:pPr>
      <w:r>
        <w:t xml:space="preserve">3. Modelagem — Star </w:t>
      </w:r>
      <w:proofErr w:type="spellStart"/>
      <w:r>
        <w:t>Schema</w:t>
      </w:r>
      <w:proofErr w:type="spellEnd"/>
    </w:p>
    <w:p w14:paraId="77D6574C" w14:textId="77777777" w:rsidR="0071106C" w:rsidRDefault="00000000">
      <w:pPr>
        <w:spacing w:after="160"/>
      </w:pPr>
      <w:r>
        <w:t xml:space="preserve">O modelo de dados final segue o padrão Star </w:t>
      </w:r>
      <w:proofErr w:type="spellStart"/>
      <w:r>
        <w:t>Schema</w:t>
      </w:r>
      <w:proofErr w:type="spellEnd"/>
      <w:r>
        <w:t>: uma tabela fato central, com o registro de cada procedimento realizado, ligada a seis tabelas de dimensão que descrevem o contexto de cada evento.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1106C" w14:paraId="752668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8E8E8"/>
          </w:tcPr>
          <w:p w14:paraId="74DFF0F2" w14:textId="77777777" w:rsidR="0071106C" w:rsidRDefault="00000000">
            <w:r>
              <w:rPr>
                <w:b/>
                <w:bCs/>
              </w:rPr>
              <w:t>Tabela</w:t>
            </w:r>
          </w:p>
        </w:tc>
        <w:tc>
          <w:tcPr>
            <w:tcW w:w="4500" w:type="dxa"/>
            <w:shd w:val="clear" w:color="auto" w:fill="E8E8E8"/>
          </w:tcPr>
          <w:p w14:paraId="4E2B7B4F" w14:textId="77777777" w:rsidR="0071106C" w:rsidRDefault="00000000">
            <w:r>
              <w:rPr>
                <w:b/>
                <w:bCs/>
              </w:rPr>
              <w:t>O que descreve</w:t>
            </w:r>
          </w:p>
        </w:tc>
      </w:tr>
      <w:tr w:rsidR="0071106C" w14:paraId="4FE900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D7973CD" w14:textId="77777777" w:rsidR="0071106C" w:rsidRDefault="00000000">
            <w:proofErr w:type="spellStart"/>
            <w:r>
              <w:t>Fato_Contas_Medicas</w:t>
            </w:r>
            <w:proofErr w:type="spellEnd"/>
          </w:p>
        </w:tc>
        <w:tc>
          <w:tcPr>
            <w:tcW w:w="4500" w:type="dxa"/>
          </w:tcPr>
          <w:p w14:paraId="175C6DB2" w14:textId="77777777" w:rsidR="0071106C" w:rsidRDefault="00000000">
            <w:r>
              <w:t>Cada linha é um procedimento realizado: pessoa, empresa, operadora, prestador, procedimento, competência, quantidade e valor.</w:t>
            </w:r>
          </w:p>
        </w:tc>
      </w:tr>
      <w:tr w:rsidR="0071106C" w14:paraId="378D3D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8C73EF3" w14:textId="77777777" w:rsidR="0071106C" w:rsidRDefault="00000000">
            <w:proofErr w:type="spellStart"/>
            <w:r>
              <w:t>Dim_Pessoa</w:t>
            </w:r>
            <w:proofErr w:type="spellEnd"/>
          </w:p>
        </w:tc>
        <w:tc>
          <w:tcPr>
            <w:tcW w:w="4500" w:type="dxa"/>
          </w:tcPr>
          <w:p w14:paraId="4EC6B151" w14:textId="77777777" w:rsidR="0071106C" w:rsidRDefault="00000000">
            <w:r>
              <w:t>Beneficiário: sexo, data de nascimento, idade atual calculada e faixa etária.</w:t>
            </w:r>
          </w:p>
        </w:tc>
      </w:tr>
      <w:tr w:rsidR="0071106C" w14:paraId="7CBAEC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787A9F" w14:textId="77777777" w:rsidR="0071106C" w:rsidRDefault="00000000">
            <w:proofErr w:type="spellStart"/>
            <w:r>
              <w:t>Dim_Empresa</w:t>
            </w:r>
            <w:proofErr w:type="spellEnd"/>
          </w:p>
        </w:tc>
        <w:tc>
          <w:tcPr>
            <w:tcW w:w="4500" w:type="dxa"/>
          </w:tcPr>
          <w:p w14:paraId="6904EB11" w14:textId="77777777" w:rsidR="0071106C" w:rsidRDefault="00000000">
            <w:r>
              <w:t>Empresa contratante do plano de saúde.</w:t>
            </w:r>
          </w:p>
        </w:tc>
      </w:tr>
      <w:tr w:rsidR="0071106C" w14:paraId="785C4E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FE98BF" w14:textId="77777777" w:rsidR="0071106C" w:rsidRDefault="00000000">
            <w:proofErr w:type="spellStart"/>
            <w:r>
              <w:t>Dim_Operadora</w:t>
            </w:r>
            <w:proofErr w:type="spellEnd"/>
          </w:p>
        </w:tc>
        <w:tc>
          <w:tcPr>
            <w:tcW w:w="4500" w:type="dxa"/>
          </w:tcPr>
          <w:p w14:paraId="2736B220" w14:textId="77777777" w:rsidR="0071106C" w:rsidRDefault="00000000">
            <w:r>
              <w:t>Operadora do plano de saúde.</w:t>
            </w:r>
          </w:p>
        </w:tc>
      </w:tr>
      <w:tr w:rsidR="0071106C" w14:paraId="29164D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8307C1B" w14:textId="77777777" w:rsidR="0071106C" w:rsidRDefault="00000000">
            <w:proofErr w:type="spellStart"/>
            <w:r>
              <w:t>Dim_Procedimento</w:t>
            </w:r>
            <w:proofErr w:type="spellEnd"/>
          </w:p>
        </w:tc>
        <w:tc>
          <w:tcPr>
            <w:tcW w:w="4500" w:type="dxa"/>
          </w:tcPr>
          <w:p w14:paraId="4715C43E" w14:textId="77777777" w:rsidR="0071106C" w:rsidRDefault="00000000">
            <w:r>
              <w:t>Descrição do procedimento ou material realizado.</w:t>
            </w:r>
          </w:p>
        </w:tc>
      </w:tr>
      <w:tr w:rsidR="0071106C" w14:paraId="647A8F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7A22C77" w14:textId="77777777" w:rsidR="0071106C" w:rsidRDefault="00000000">
            <w:proofErr w:type="spellStart"/>
            <w:r>
              <w:t>Dim_Tempo</w:t>
            </w:r>
            <w:proofErr w:type="spellEnd"/>
          </w:p>
        </w:tc>
        <w:tc>
          <w:tcPr>
            <w:tcW w:w="4500" w:type="dxa"/>
          </w:tcPr>
          <w:p w14:paraId="0390C8F8" w14:textId="77777777" w:rsidR="0071106C" w:rsidRDefault="00000000">
            <w:r>
              <w:t>Ano, mês e trimestre da competência do atendimento.</w:t>
            </w:r>
          </w:p>
        </w:tc>
      </w:tr>
      <w:tr w:rsidR="0071106C" w14:paraId="2E33E2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CE43261" w14:textId="77777777" w:rsidR="0071106C" w:rsidRDefault="00000000">
            <w:proofErr w:type="spellStart"/>
            <w:r>
              <w:t>Dim</w:t>
            </w:r>
            <w:proofErr w:type="gramStart"/>
            <w:r>
              <w:t>_Prestador</w:t>
            </w:r>
            <w:proofErr w:type="spellEnd"/>
            <w:proofErr w:type="gramEnd"/>
          </w:p>
        </w:tc>
        <w:tc>
          <w:tcPr>
            <w:tcW w:w="4500" w:type="dxa"/>
          </w:tcPr>
          <w:p w14:paraId="696DA3DA" w14:textId="77777777" w:rsidR="0071106C" w:rsidRDefault="00000000">
            <w:r>
              <w:t>CNPJ, cidade e estado do prestador de serviço (resultado do enriquecimento).</w:t>
            </w:r>
          </w:p>
        </w:tc>
      </w:tr>
    </w:tbl>
    <w:p w14:paraId="1789D457" w14:textId="77777777" w:rsidR="0071106C" w:rsidRDefault="00000000">
      <w:pPr>
        <w:pStyle w:val="Ttulo2"/>
        <w:spacing w:before="200" w:after="100"/>
      </w:pPr>
      <w:r>
        <w:t>Faixa etária</w:t>
      </w:r>
    </w:p>
    <w:p w14:paraId="1DA3DAA2" w14:textId="77777777" w:rsidR="0071106C" w:rsidRDefault="00000000">
      <w:pPr>
        <w:spacing w:after="160"/>
      </w:pPr>
      <w:r>
        <w:t>Calculada a partir da idade atual (data de hoje menos data de nascimento), não da idade no momento do atendimento — essa foi uma leitura literal do enunciado, que pede explicitamente "idade atual". As faixas seguem os intervalos fixos definidos no desafio, de 5 em 5 anos, com "59 anos ou mais" cobrindo o topo.</w:t>
      </w:r>
    </w:p>
    <w:p w14:paraId="32074834" w14:textId="77777777" w:rsidR="0071106C" w:rsidRDefault="00000000">
      <w:pPr>
        <w:pStyle w:val="Ttulo2"/>
        <w:spacing w:before="200" w:after="100"/>
      </w:pPr>
      <w:r>
        <w:t>Um cuidado extra: duplicidade por formatação</w:t>
      </w:r>
    </w:p>
    <w:p w14:paraId="5C69B414" w14:textId="77777777" w:rsidR="0071106C" w:rsidRDefault="00000000">
      <w:pPr>
        <w:spacing w:after="160"/>
      </w:pPr>
      <w:r>
        <w:t>Ao montar a dimensão de procedimentos, foi identificado que alguns procedimentos apareciam duas vezes na base — uma vez em maiúsculas, outra em minúsculas (por exemplo, "SONDA URETRAL" e "Sonda Uretral"), além de alguns registros com caracteres de tabulação e aspas soltas inseridas por erro de exportação da fonte original. Sem tratar isso, o mesmo procedimento seria contado duas vezes no ranking de "top 10", distorcendo o resultado. A solução foi normalizar o texto (removendo essas variações) apenas para fins de comparação, preservando a primeira grafia encontrada como texto de exibição — sem tentar unificar itens que são de fato produtos diferentes, apenas grafados de forma parecida.</w:t>
      </w:r>
    </w:p>
    <w:p w14:paraId="5E2E3E27" w14:textId="77777777" w:rsidR="0071106C" w:rsidRDefault="00000000">
      <w:pPr>
        <w:pStyle w:val="Ttulo1"/>
        <w:spacing w:before="300" w:after="150"/>
      </w:pPr>
      <w:r>
        <w:t>4. Padronização em formato otimizado</w:t>
      </w:r>
    </w:p>
    <w:p w14:paraId="2F1344AC" w14:textId="77777777" w:rsidR="0071106C" w:rsidRDefault="00000000">
      <w:pPr>
        <w:spacing w:after="160"/>
      </w:pPr>
      <w:r>
        <w:t xml:space="preserve">O enunciado cita o formato QVD como exemplo de "formato único e otimizado", mas QVD é proprietário do </w:t>
      </w:r>
      <w:proofErr w:type="spellStart"/>
      <w:r>
        <w:t>Qlik</w:t>
      </w:r>
      <w:proofErr w:type="spellEnd"/>
      <w:r>
        <w:t xml:space="preserve"> e não é compatível com o </w:t>
      </w:r>
      <w:proofErr w:type="spellStart"/>
      <w:r>
        <w:t>stack</w:t>
      </w:r>
      <w:proofErr w:type="spellEnd"/>
      <w:r>
        <w:t xml:space="preserve"> Power BI escolhido para este desafio. A alternativa equivalente dentro do ecossistema Python/Power BI é o Parquet: um formato binário que preserva tipos de dado e comprime significativamente melhor que CSV. A tabela fato, por exemplo, caiu de 741 MB em CSV para 222 MB em Parquet — uma redução de 70%, que se traduz em carregamento bem mais rápido no Power BI.</w:t>
      </w:r>
    </w:p>
    <w:p w14:paraId="113E408C" w14:textId="77777777" w:rsidR="0071106C" w:rsidRDefault="00000000">
      <w:pPr>
        <w:pStyle w:val="Ttulo1"/>
        <w:spacing w:before="300" w:after="150"/>
      </w:pPr>
      <w:r>
        <w:lastRenderedPageBreak/>
        <w:t>5. Banco de dados e as cinco perguntas de negócio</w:t>
      </w:r>
    </w:p>
    <w:p w14:paraId="1C3EE7F8" w14:textId="77777777" w:rsidR="0071106C" w:rsidRDefault="00000000">
      <w:pPr>
        <w:spacing w:after="160"/>
      </w:pPr>
      <w:r>
        <w:t>O modelo foi carregado em um banco PostgreSQL, com uma tabela para cada dimensão e a fato ligada a todas por chave estrangeira. As cinco perguntas do questionário foram respondidas com queries SQL escritas sobre esse modelo, sempre comparando 2023 contra 2024.</w:t>
      </w:r>
    </w:p>
    <w:p w14:paraId="3455D5E8" w14:textId="77777777" w:rsidR="0071106C" w:rsidRDefault="00000000">
      <w:pPr>
        <w:pStyle w:val="Ttulo2"/>
        <w:spacing w:before="200" w:after="100"/>
      </w:pPr>
      <w:r>
        <w:t>Pergunta 1 — Valor total em São Paulo, Rio de Janeiro e Niterói</w:t>
      </w:r>
    </w:p>
    <w:p w14:paraId="5BFC03B1" w14:textId="77777777" w:rsidR="0071106C" w:rsidRDefault="00000000">
      <w:pPr>
        <w:spacing w:after="160"/>
      </w:pPr>
      <w:r>
        <w:t>Soma do valor de todas as contas médicas, filtrando pelo prestador localizado nessas três cidades. São Paulo concentra a maior parte do valor nas duas comparações, e as três cidades cresceram de 2023 para 2024.</w:t>
      </w:r>
    </w:p>
    <w:p w14:paraId="6E26720B" w14:textId="77777777" w:rsidR="0071106C" w:rsidRDefault="00000000">
      <w:pPr>
        <w:pStyle w:val="Ttulo2"/>
        <w:spacing w:before="200" w:after="100"/>
      </w:pPr>
      <w:r>
        <w:t>Pergunta 2 — Top 10 procedimentos nessas regiões</w:t>
      </w:r>
    </w:p>
    <w:p w14:paraId="53F1FA8B" w14:textId="77777777" w:rsidR="0071106C" w:rsidRDefault="00000000">
      <w:pPr>
        <w:spacing w:after="160"/>
      </w:pPr>
      <w:r>
        <w:t>Mesmo filtro de cidade, agrupando por procedimento e ordenando pelo valor total. Taxa Administrativa e Medicamentos Vários lideram nos dois anos, com composição bastante estável entre um ano e outro.</w:t>
      </w:r>
    </w:p>
    <w:p w14:paraId="05258BBA" w14:textId="77777777" w:rsidR="0071106C" w:rsidRDefault="00000000">
      <w:pPr>
        <w:pStyle w:val="Ttulo2"/>
        <w:spacing w:before="200" w:after="100"/>
      </w:pPr>
      <w:r>
        <w:t>Pergunta 3 — Faixa etária que mais consome sinistro, e onde ela se concentra</w:t>
      </w:r>
    </w:p>
    <w:p w14:paraId="0C6E2143" w14:textId="77777777" w:rsidR="0071106C" w:rsidRDefault="00000000">
      <w:pPr>
        <w:spacing w:after="160"/>
      </w:pPr>
      <w:r>
        <w:t>Considerando a base inteira (sem filtro de cidade), a faixa "59 anos ou mais" lidera em valor de sinistro nos dois anos — um padrão esperado em saúde suplementar, já que tratamentos para idosos tendem a ser mais caros. A concentração geográfica dessa faixa (medida pela localização do prestador que atendeu, já que não existe endereço do beneficiário no modelo) tem São Paulo e Rio de Janeiro à frente.</w:t>
      </w:r>
    </w:p>
    <w:p w14:paraId="77FEADC6" w14:textId="77777777" w:rsidR="0071106C" w:rsidRDefault="00000000">
      <w:pPr>
        <w:pStyle w:val="Ttulo2"/>
        <w:spacing w:before="200" w:after="100"/>
      </w:pPr>
      <w:r>
        <w:t>Pergunta 4 — Representatividade dessa faixa etária</w:t>
      </w:r>
    </w:p>
    <w:p w14:paraId="005D8C1B" w14:textId="77777777" w:rsidR="0071106C" w:rsidRDefault="00000000">
      <w:pPr>
        <w:spacing w:after="160"/>
      </w:pPr>
      <w:r>
        <w:t>Aqui aparece um contraste relevante: a faixa "59 anos ou mais" representa apenas 7,36% (2023) e 6,52% (2024) do total de pessoas, mas gera 18,93% e 16,04% do valor total, respectivamente. Ou seja, é uma fatia pequena da população que consome de forma desproporcional — quase três vezes mais representativa em custo do que em número de pessoas.</w:t>
      </w:r>
    </w:p>
    <w:p w14:paraId="1FD48F00" w14:textId="77777777" w:rsidR="0071106C" w:rsidRDefault="00000000">
      <w:pPr>
        <w:pStyle w:val="Ttulo2"/>
        <w:spacing w:before="200" w:after="100"/>
      </w:pPr>
      <w:r>
        <w:t>Pergunta 5 — Empresas com mais vinculados nessa faixa, e distribuição de gênero</w:t>
      </w:r>
    </w:p>
    <w:p w14:paraId="387EA667" w14:textId="77777777" w:rsidR="0071106C" w:rsidRDefault="00000000">
      <w:pPr>
        <w:spacing w:after="160"/>
      </w:pPr>
      <w:r>
        <w:t>Ranking de empresas ordenado pela quantidade de beneficiários na faixa líder, com o percentual de homens e mulheres calculado dentro de cada empresa (não no total geral). Os nomes de empresa e pessoa vieram anonimizados na base original, então a identificação é apenas posicional (qual empresa concentra mais, não qual é literalmente).</w:t>
      </w:r>
    </w:p>
    <w:p w14:paraId="6DC29681" w14:textId="77777777" w:rsidR="0071106C" w:rsidRDefault="00000000">
      <w:pPr>
        <w:pStyle w:val="Ttulo1"/>
        <w:spacing w:before="300" w:after="150"/>
      </w:pPr>
      <w:r>
        <w:t>6. Dashboard (Power BI)</w:t>
      </w:r>
    </w:p>
    <w:p w14:paraId="5D14D1F1" w14:textId="77777777" w:rsidR="0071106C" w:rsidRDefault="00000000">
      <w:pPr>
        <w:spacing w:after="160"/>
      </w:pPr>
      <w:r>
        <w:t xml:space="preserve">O modelo foi conectado diretamente ao banco PostgreSQL, recriando os relacionamentos do Star </w:t>
      </w:r>
      <w:proofErr w:type="spellStart"/>
      <w:r>
        <w:t>Schema</w:t>
      </w:r>
      <w:proofErr w:type="spellEnd"/>
      <w:r>
        <w:t xml:space="preserve"> dentro do Power BI e traduzindo a lógica das cinco queries em medidas DAX. O dashboard reúne quatro indicadores gerais no topo (valor total, valor por ano e representatividade da faixa líder) e cinco painéis, um para cada pergunta do questionário.</w:t>
      </w:r>
    </w:p>
    <w:p w14:paraId="02C6E6CB" w14:textId="77777777" w:rsidR="0071106C" w:rsidRDefault="00000000">
      <w:pPr>
        <w:pStyle w:val="Ttulo1"/>
        <w:spacing w:before="300" w:after="150"/>
      </w:pPr>
      <w:r>
        <w:t>Principais decisões a defender na entrevista</w:t>
      </w:r>
    </w:p>
    <w:p w14:paraId="23909DDD" w14:textId="77777777" w:rsidR="0071106C" w:rsidRDefault="00000000">
      <w:pPr>
        <w:spacing w:after="160"/>
      </w:pPr>
      <w:r>
        <w:rPr>
          <w:b/>
          <w:bCs/>
        </w:rPr>
        <w:t xml:space="preserve">Por que a </w:t>
      </w:r>
      <w:proofErr w:type="spellStart"/>
      <w:r>
        <w:rPr>
          <w:b/>
          <w:bCs/>
        </w:rPr>
        <w:t>Dim</w:t>
      </w:r>
      <w:proofErr w:type="gramStart"/>
      <w:r>
        <w:rPr>
          <w:b/>
          <w:bCs/>
        </w:rPr>
        <w:t>_Prestador</w:t>
      </w:r>
      <w:proofErr w:type="spellEnd"/>
      <w:proofErr w:type="gramEnd"/>
      <w:r>
        <w:rPr>
          <w:b/>
          <w:bCs/>
        </w:rPr>
        <w:t xml:space="preserve"> não está 100% enriquecida: </w:t>
      </w:r>
      <w:r>
        <w:t xml:space="preserve">rate </w:t>
      </w:r>
      <w:proofErr w:type="spellStart"/>
      <w:r>
        <w:t>limit</w:t>
      </w:r>
      <w:proofErr w:type="spellEnd"/>
      <w:r>
        <w:t xml:space="preserve"> de uma API pública gratuita, mitigado priorizando os prestadores de maior valor financeiro (93,1% de cobertura em valor, mesmo com 42,6% de cobertura em quantidade de </w:t>
      </w:r>
      <w:proofErr w:type="spellStart"/>
      <w:r>
        <w:t>CNPJs</w:t>
      </w:r>
      <w:proofErr w:type="spellEnd"/>
      <w:r>
        <w:t>).</w:t>
      </w:r>
    </w:p>
    <w:p w14:paraId="7E04EFE4" w14:textId="77777777" w:rsidR="0071106C" w:rsidRDefault="00000000">
      <w:pPr>
        <w:spacing w:after="160"/>
      </w:pPr>
      <w:r>
        <w:rPr>
          <w:b/>
          <w:bCs/>
        </w:rPr>
        <w:t xml:space="preserve">Por que idade é calculada pela data de hoje, não pela data do atendimento: </w:t>
      </w:r>
      <w:r>
        <w:t>leitura literal do termo "idade atual" no enunciado.</w:t>
      </w:r>
    </w:p>
    <w:p w14:paraId="1E73EF0C" w14:textId="77777777" w:rsidR="0071106C" w:rsidRDefault="00000000">
      <w:pPr>
        <w:spacing w:after="160"/>
      </w:pPr>
      <w:r>
        <w:rPr>
          <w:b/>
          <w:bCs/>
        </w:rPr>
        <w:t xml:space="preserve">Por que Parquet no lugar de QVD: </w:t>
      </w:r>
      <w:r>
        <w:t xml:space="preserve">QVD é formato proprietário do </w:t>
      </w:r>
      <w:proofErr w:type="spellStart"/>
      <w:r>
        <w:t>Qlik</w:t>
      </w:r>
      <w:proofErr w:type="spellEnd"/>
      <w:r>
        <w:t xml:space="preserve">, incompatível com o </w:t>
      </w:r>
      <w:proofErr w:type="spellStart"/>
      <w:r>
        <w:t>stack</w:t>
      </w:r>
      <w:proofErr w:type="spellEnd"/>
      <w:r>
        <w:t xml:space="preserve"> Power BI usado; Parquet cumpre o mesmo objetivo de padronização e otimização dentro do ecossistema escolhido.</w:t>
      </w:r>
    </w:p>
    <w:p w14:paraId="60A66484" w14:textId="77777777" w:rsidR="0071106C" w:rsidRDefault="00000000">
      <w:pPr>
        <w:spacing w:after="160"/>
      </w:pPr>
      <w:r>
        <w:rPr>
          <w:b/>
          <w:bCs/>
        </w:rPr>
        <w:lastRenderedPageBreak/>
        <w:t xml:space="preserve">Por que a normalização de texto foi cautelosa: </w:t>
      </w:r>
      <w:r>
        <w:t>apenas variações comprovadas de formatação (maiúsculas, tabulação, aspas soltas) foram unificadas — nunca similaridade de conteúdo, para não juntar por engano produtos que são de fato diferentes.</w:t>
      </w:r>
    </w:p>
    <w:sectPr w:rsidR="007110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2C3B"/>
    <w:multiLevelType w:val="hybridMultilevel"/>
    <w:tmpl w:val="7A5C97D0"/>
    <w:lvl w:ilvl="0" w:tplc="7FB26B6A">
      <w:start w:val="1"/>
      <w:numFmt w:val="bullet"/>
      <w:lvlText w:val="●"/>
      <w:lvlJc w:val="left"/>
      <w:pPr>
        <w:ind w:left="720" w:hanging="360"/>
      </w:pPr>
    </w:lvl>
    <w:lvl w:ilvl="1" w:tplc="3D86B622">
      <w:start w:val="1"/>
      <w:numFmt w:val="bullet"/>
      <w:lvlText w:val="○"/>
      <w:lvlJc w:val="left"/>
      <w:pPr>
        <w:ind w:left="1440" w:hanging="360"/>
      </w:pPr>
    </w:lvl>
    <w:lvl w:ilvl="2" w:tplc="E45C4974">
      <w:start w:val="1"/>
      <w:numFmt w:val="bullet"/>
      <w:lvlText w:val="■"/>
      <w:lvlJc w:val="left"/>
      <w:pPr>
        <w:ind w:left="2160" w:hanging="360"/>
      </w:pPr>
    </w:lvl>
    <w:lvl w:ilvl="3" w:tplc="4446BAD2">
      <w:start w:val="1"/>
      <w:numFmt w:val="bullet"/>
      <w:lvlText w:val="●"/>
      <w:lvlJc w:val="left"/>
      <w:pPr>
        <w:ind w:left="2880" w:hanging="360"/>
      </w:pPr>
    </w:lvl>
    <w:lvl w:ilvl="4" w:tplc="AD10AB28">
      <w:start w:val="1"/>
      <w:numFmt w:val="bullet"/>
      <w:lvlText w:val="○"/>
      <w:lvlJc w:val="left"/>
      <w:pPr>
        <w:ind w:left="3600" w:hanging="360"/>
      </w:pPr>
    </w:lvl>
    <w:lvl w:ilvl="5" w:tplc="B7302890">
      <w:start w:val="1"/>
      <w:numFmt w:val="bullet"/>
      <w:lvlText w:val="■"/>
      <w:lvlJc w:val="left"/>
      <w:pPr>
        <w:ind w:left="4320" w:hanging="360"/>
      </w:pPr>
    </w:lvl>
    <w:lvl w:ilvl="6" w:tplc="99B400F4">
      <w:start w:val="1"/>
      <w:numFmt w:val="bullet"/>
      <w:lvlText w:val="●"/>
      <w:lvlJc w:val="left"/>
      <w:pPr>
        <w:ind w:left="5040" w:hanging="360"/>
      </w:pPr>
    </w:lvl>
    <w:lvl w:ilvl="7" w:tplc="F0941F68">
      <w:start w:val="1"/>
      <w:numFmt w:val="bullet"/>
      <w:lvlText w:val="●"/>
      <w:lvlJc w:val="left"/>
      <w:pPr>
        <w:ind w:left="5760" w:hanging="360"/>
      </w:pPr>
    </w:lvl>
    <w:lvl w:ilvl="8" w:tplc="36B08B1E">
      <w:start w:val="1"/>
      <w:numFmt w:val="bullet"/>
      <w:lvlText w:val="●"/>
      <w:lvlJc w:val="left"/>
      <w:pPr>
        <w:ind w:left="6480" w:hanging="360"/>
      </w:pPr>
    </w:lvl>
  </w:abstractNum>
  <w:num w:numId="1" w16cid:durableId="279385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6C"/>
    <w:rsid w:val="005B7C7F"/>
    <w:rsid w:val="006A23AC"/>
    <w:rsid w:val="0071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8947D"/>
  <w15:docId w15:val="{543E8FBE-C41E-4EF2-8ECA-4FA58321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1592</Words>
  <Characters>8599</Characters>
  <Application>Microsoft Office Word</Application>
  <DocSecurity>0</DocSecurity>
  <Lines>71</Lines>
  <Paragraphs>20</Paragraphs>
  <ScaleCrop>false</ScaleCrop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Andrade de Campos</cp:lastModifiedBy>
  <cp:revision>2</cp:revision>
  <dcterms:created xsi:type="dcterms:W3CDTF">2026-08-16T19:47:00Z</dcterms:created>
  <dcterms:modified xsi:type="dcterms:W3CDTF">2026-08-16T19:47:00Z</dcterms:modified>
</cp:coreProperties>
</file>