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5798" w14:textId="77777777" w:rsidR="004D4FA2" w:rsidRDefault="00000000">
      <w:pPr>
        <w:pStyle w:val="Ttulo"/>
        <w:spacing w:after="100"/>
      </w:pPr>
      <w:r>
        <w:t>Respostas do questionário de negócio</w:t>
      </w:r>
    </w:p>
    <w:p w14:paraId="10DF541D" w14:textId="5C77BD30" w:rsidR="004D4FA2" w:rsidRDefault="00000000">
      <w:pPr>
        <w:spacing w:after="200"/>
      </w:pPr>
      <w:r>
        <w:rPr>
          <w:i/>
          <w:iCs/>
          <w:color w:val="555555"/>
        </w:rPr>
        <w:t>Comparando 2023 e 2024</w:t>
      </w:r>
    </w:p>
    <w:p w14:paraId="62AA939B" w14:textId="77777777" w:rsidR="004D4FA2" w:rsidRDefault="00000000">
      <w:pPr>
        <w:pStyle w:val="Ttulo1"/>
        <w:spacing w:before="300" w:after="150"/>
      </w:pPr>
      <w:r>
        <w:t>1. Quanto foi gasto em São Paulo, Rio de Janeiro e Niterói?</w:t>
      </w:r>
    </w:p>
    <w:p w14:paraId="44ED8E8E" w14:textId="6F684FA2" w:rsidR="004D4FA2" w:rsidRDefault="00000000">
      <w:pPr>
        <w:spacing w:after="200"/>
      </w:pPr>
      <w:r>
        <w:t>São Paulo é</w:t>
      </w:r>
      <w:r w:rsidR="00495991">
        <w:t xml:space="preserve"> </w:t>
      </w:r>
      <w:r>
        <w:t>a cidade que mais movimenta valor entre as três, seguida do Rio de Janeiro e depois Niterói. Nos três lugares, o valor de 2024 ficou maior que o de 2023 — ou seja, o gasto cresceu de um ano para o outro nessas três cidades.</w:t>
      </w:r>
    </w:p>
    <w:p w14:paraId="6882B0FB" w14:textId="77777777" w:rsidR="004D4FA2" w:rsidRDefault="00000000">
      <w:pPr>
        <w:pStyle w:val="Ttulo1"/>
        <w:spacing w:before="300" w:after="150"/>
      </w:pPr>
      <w:r>
        <w:t>2. Quais procedimentos mais pesam no bolso nessas cidades?</w:t>
      </w:r>
    </w:p>
    <w:p w14:paraId="78CC6D63" w14:textId="234BFAFC" w:rsidR="004D4FA2" w:rsidRDefault="00000000">
      <w:pPr>
        <w:spacing w:after="200"/>
      </w:pPr>
      <w:r>
        <w:t xml:space="preserve">Os dois procedimentos que mais aparecem </w:t>
      </w:r>
      <w:r w:rsidR="00495991">
        <w:t xml:space="preserve">no topo </w:t>
      </w:r>
      <w:r>
        <w:t>nos dois anos, são "Taxa Administrativa" e "Medicamento Vários" com valores bem maiores que o restante da lista. Depois deles vêm pacotes de pronto-socorro e diária hospitalar. A composição do top 10 é bem parecida entre 2023 e 2024, o que sugere que o padrão de consumo não mudou muito de um ano pro outro</w:t>
      </w:r>
      <w:r w:rsidR="00495991">
        <w:t>.</w:t>
      </w:r>
    </w:p>
    <w:p w14:paraId="558D77DC" w14:textId="77777777" w:rsidR="004D4FA2" w:rsidRDefault="00000000">
      <w:pPr>
        <w:pStyle w:val="Ttulo1"/>
        <w:spacing w:before="300" w:after="150"/>
      </w:pPr>
      <w:r>
        <w:t>3. Qual faixa de idade mais gera gasto com saúde, e onde ela está?</w:t>
      </w:r>
    </w:p>
    <w:p w14:paraId="2F3C075E" w14:textId="53A15F2A" w:rsidR="004D4FA2" w:rsidRDefault="00000000">
      <w:pPr>
        <w:spacing w:after="200"/>
      </w:pPr>
      <w:r>
        <w:t>Olhando a base toda quem mais gera gasto é a faixa de 59 anos ou mais — isso se repete tanto em 2023 quanto em 2024. Essa faixa etária está mais concentrada em São Paulo e no Rio de Janeiro, as duas cidades com maior volume de atendimento no geral.</w:t>
      </w:r>
    </w:p>
    <w:p w14:paraId="2CF36FD3" w14:textId="77777777" w:rsidR="004D4FA2" w:rsidRDefault="00000000">
      <w:pPr>
        <w:pStyle w:val="Ttulo1"/>
        <w:spacing w:before="300" w:after="150"/>
      </w:pPr>
      <w:r>
        <w:t>4. Essa faixa etária é grande em número de pessoas, ou só cara?</w:t>
      </w:r>
    </w:p>
    <w:p w14:paraId="1215C0DB" w14:textId="3F18A004" w:rsidR="004D4FA2" w:rsidRDefault="00495991">
      <w:pPr>
        <w:spacing w:after="200"/>
      </w:pPr>
      <w:r>
        <w:t xml:space="preserve"> A</w:t>
      </w:r>
      <w:r w:rsidR="00000000">
        <w:t xml:space="preserve"> faixa 59+ é uma fatia pequena da população coberta pelo plano — só cerca de 7% das pessoas em 2023 e 6,5% em 2024. </w:t>
      </w:r>
      <w:r>
        <w:t xml:space="preserve">Contudo, </w:t>
      </w:r>
      <w:r w:rsidR="00000000">
        <w:t>essa mesma fatia pequena é responsável por quase 19% do valor gasto em 2023, e 16% em 2024. Ou seja, são poucas pessoas, mas que custam proporcionalmente muito mais que o restante da base — quase três vezes mais representativas em custo do que em quantidade de gente.</w:t>
      </w:r>
    </w:p>
    <w:p w14:paraId="679444CF" w14:textId="77777777" w:rsidR="004D4FA2" w:rsidRDefault="00000000">
      <w:pPr>
        <w:pStyle w:val="Ttulo1"/>
        <w:spacing w:before="300" w:after="150"/>
      </w:pPr>
      <w:r>
        <w:t>5. Em quais empresas essa faixa etária está mais presente, e qual a proporção de homens e mulheres?</w:t>
      </w:r>
    </w:p>
    <w:p w14:paraId="3E209C54" w14:textId="77777777" w:rsidR="004D4FA2" w:rsidRDefault="00000000">
      <w:pPr>
        <w:spacing w:after="200"/>
      </w:pPr>
      <w:r>
        <w:t>Existe um grupo de empresas que concentra bem mais gente na faixa 59+ que as demais — são essas que aparecem no topo do ranking. Dentro de cada uma delas, a proporção entre homens e mulheres varia empresa a empresa: em algumas o público é mais equilibrado (perto de 50/50), em outras há uma predominância clara de um dos dois sexos, chegando a proporções de 70/30 em alguns casos. Os nomes das empresas foram anonimizados na base recebida, então a análise identifica a posição de cada uma no ranking, não o nome real da empresa.</w:t>
      </w:r>
    </w:p>
    <w:sectPr w:rsidR="004D4F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3555"/>
    <w:multiLevelType w:val="hybridMultilevel"/>
    <w:tmpl w:val="845C457C"/>
    <w:lvl w:ilvl="0" w:tplc="1AACAB26">
      <w:start w:val="1"/>
      <w:numFmt w:val="bullet"/>
      <w:lvlText w:val="●"/>
      <w:lvlJc w:val="left"/>
      <w:pPr>
        <w:ind w:left="720" w:hanging="360"/>
      </w:pPr>
    </w:lvl>
    <w:lvl w:ilvl="1" w:tplc="3F483DB2">
      <w:start w:val="1"/>
      <w:numFmt w:val="bullet"/>
      <w:lvlText w:val="○"/>
      <w:lvlJc w:val="left"/>
      <w:pPr>
        <w:ind w:left="1440" w:hanging="360"/>
      </w:pPr>
    </w:lvl>
    <w:lvl w:ilvl="2" w:tplc="659C922E">
      <w:start w:val="1"/>
      <w:numFmt w:val="bullet"/>
      <w:lvlText w:val="■"/>
      <w:lvlJc w:val="left"/>
      <w:pPr>
        <w:ind w:left="2160" w:hanging="360"/>
      </w:pPr>
    </w:lvl>
    <w:lvl w:ilvl="3" w:tplc="7A9293A8">
      <w:start w:val="1"/>
      <w:numFmt w:val="bullet"/>
      <w:lvlText w:val="●"/>
      <w:lvlJc w:val="left"/>
      <w:pPr>
        <w:ind w:left="2880" w:hanging="360"/>
      </w:pPr>
    </w:lvl>
    <w:lvl w:ilvl="4" w:tplc="2C64578C">
      <w:start w:val="1"/>
      <w:numFmt w:val="bullet"/>
      <w:lvlText w:val="○"/>
      <w:lvlJc w:val="left"/>
      <w:pPr>
        <w:ind w:left="3600" w:hanging="360"/>
      </w:pPr>
    </w:lvl>
    <w:lvl w:ilvl="5" w:tplc="EFFE971A">
      <w:start w:val="1"/>
      <w:numFmt w:val="bullet"/>
      <w:lvlText w:val="■"/>
      <w:lvlJc w:val="left"/>
      <w:pPr>
        <w:ind w:left="4320" w:hanging="360"/>
      </w:pPr>
    </w:lvl>
    <w:lvl w:ilvl="6" w:tplc="3938A940">
      <w:start w:val="1"/>
      <w:numFmt w:val="bullet"/>
      <w:lvlText w:val="●"/>
      <w:lvlJc w:val="left"/>
      <w:pPr>
        <w:ind w:left="5040" w:hanging="360"/>
      </w:pPr>
    </w:lvl>
    <w:lvl w:ilvl="7" w:tplc="7B1EC68E">
      <w:start w:val="1"/>
      <w:numFmt w:val="bullet"/>
      <w:lvlText w:val="●"/>
      <w:lvlJc w:val="left"/>
      <w:pPr>
        <w:ind w:left="5760" w:hanging="360"/>
      </w:pPr>
    </w:lvl>
    <w:lvl w:ilvl="8" w:tplc="C9B009B0">
      <w:start w:val="1"/>
      <w:numFmt w:val="bullet"/>
      <w:lvlText w:val="●"/>
      <w:lvlJc w:val="left"/>
      <w:pPr>
        <w:ind w:left="6480" w:hanging="360"/>
      </w:pPr>
    </w:lvl>
  </w:abstractNum>
  <w:num w:numId="1" w16cid:durableId="615521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FA2"/>
    <w:rsid w:val="00495991"/>
    <w:rsid w:val="004D4FA2"/>
    <w:rsid w:val="00EE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DB19F"/>
  <w15:docId w15:val="{0DA497C5-7387-44AB-872C-C86C14E1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339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Andrade de Campos</cp:lastModifiedBy>
  <cp:revision>2</cp:revision>
  <dcterms:created xsi:type="dcterms:W3CDTF">2026-08-16T19:45:00Z</dcterms:created>
  <dcterms:modified xsi:type="dcterms:W3CDTF">2026-08-16T19:45:00Z</dcterms:modified>
</cp:coreProperties>
</file>