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B3A6B"/>
          <w:sz w:val="40"/>
          <w:szCs w:val="40"/>
        </w:rPr>
        <w:t xml:space="preserve">INFORME DE PREFACTIBILIDAD</w:t>
      </w:r>
    </w:p>
    <w:p>
      <w:pPr>
        <w:spacing w:after="200"/>
      </w:pPr>
      <w:r>
        <w:rPr>
          <w:b/>
          <w:color w:val="2B5AA0"/>
          <w:sz w:val="26"/>
          <w:szCs w:val="26"/>
        </w:rPr>
        <w:t xml:space="preserve">Sistema de Generación Fotovoltaica Residencial con Configuración Net Billing y Respaldo con Batería de Litio</w:t>
      </w:r>
    </w:p>
    <w:tbl>
      <w:tblPr>
        <w:tblW w:w="9000" w:type="dxa"/>
        <w:tblBorders>
          <w:top w:val="single" w:sz="4" w:color="D6DBE3"/>
          <w:left w:val="single" w:sz="4" w:color="D6DBE3"/>
          <w:bottom w:val="single" w:sz="4" w:color="D6DBE3"/>
          <w:right w:val="single" w:sz="4" w:color="D6DBE3"/>
          <w:insideH w:val="single" w:sz="4" w:color="D6DBE3"/>
          <w:insideV w:val="single" w:sz="4" w:color="D6DBE3"/>
        </w:tblBorders>
        <w:tblLook w:val="04A0"/>
      </w:tblPr>
      <w:tblGrid>
        <w:gridCol w:w="2400"/>
        <w:gridCol w:w="6600"/>
      </w:tblGrid>
      <w:tr>
        <w:tc>
          <w:tcPr>
            <w:tcW w:w="24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66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Detalle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40"/>
            </w:pPr>
            <w:r>
              <w:t xml:space="preserve">Ubicación</w:t>
            </w:r>
          </w:p>
        </w:tc>
        <w:tc>
          <w:tcPr>
            <w:tcW w:w="6600" w:type="dxa"/>
            <w:vAlign w:val="center"/>
          </w:tcPr>
          <w:p>
            <w:pPr>
              <w:spacing w:after="40"/>
            </w:pPr>
            <w:r>
              <w:t xml:space="preserve">Colono María Seidel 2504, Puerto Montt, Región de Los Lagos</w:t>
            </w:r>
          </w:p>
        </w:tc>
      </w:tr>
      <w:tr>
        <w:tc>
          <w:tcPr>
            <w:tcW w:w="24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Cliente</w:t>
            </w:r>
          </w:p>
        </w:tc>
        <w:tc>
          <w:tcPr>
            <w:tcW w:w="66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Cesar Barria Oyarzo | N° Cliente SAESA 10982361 | Medidor 3101198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40"/>
            </w:pPr>
            <w:r>
              <w:t xml:space="preserve">Tarifa actual</w:t>
            </w:r>
          </w:p>
        </w:tc>
        <w:tc>
          <w:tcPr>
            <w:tcW w:w="6600" w:type="dxa"/>
            <w:vAlign w:val="center"/>
          </w:tcPr>
          <w:p>
            <w:pPr>
              <w:spacing w:after="40"/>
            </w:pPr>
            <w:r>
              <w:t xml:space="preserve">BT1 (baja tensión residencial) | Potencia conectada 6,0 kW</w:t>
            </w:r>
          </w:p>
        </w:tc>
      </w:tr>
      <w:tr>
        <w:tc>
          <w:tcPr>
            <w:tcW w:w="24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Distribuidora</w:t>
            </w:r>
          </w:p>
        </w:tc>
        <w:tc>
          <w:tcPr>
            <w:tcW w:w="66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Sociedad Austral de Electricidad S.A. (SAESA)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after="40"/>
            </w:pPr>
            <w:r>
              <w:t xml:space="preserve">Fecha / Nivel</w:t>
            </w:r>
          </w:p>
        </w:tc>
        <w:tc>
          <w:tcPr>
            <w:tcW w:w="6600" w:type="dxa"/>
            <w:vAlign w:val="center"/>
          </w:tcPr>
          <w:p>
            <w:pPr>
              <w:spacing w:after="40"/>
            </w:pPr>
            <w:r>
              <w:t xml:space="preserve">Julio 2026 | Prefactibilidad (Clase 4, ±25–30 %)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1B3A6B"/>
          <w:sz w:val="30"/>
          <w:szCs w:val="30"/>
        </w:rPr>
        <w:t xml:space="preserve">1. Resumen Ejecutivo</w:t>
      </w:r>
    </w:p>
    <w:p>
      <w:pPr>
        <w:spacing w:after="120"/>
      </w:pPr>
      <w:r>
        <w:t xml:space="preserve">Se evalúa la instalación de un sistema fotovoltaico (FV) conectado a la red bajo modalidad Net Billing (Ley 21.118), con batería de litio (LiFePO4) para autoconsumo nocturno y respaldo, en una vivienda de Puerto Montt cuyo consumo promedio es de 93,53 kWh/mes (aprox. 1.122 kWh/año).</w:t>
      </w:r>
    </w:p>
    <w:tbl>
      <w:tblPr>
        <w:tblW w:w="9000" w:type="dxa"/>
        <w:tblBorders>
          <w:top w:val="single" w:sz="4" w:color="D6DBE3"/>
          <w:left w:val="single" w:sz="4" w:color="D6DBE3"/>
          <w:bottom w:val="single" w:sz="4" w:color="D6DBE3"/>
          <w:right w:val="single" w:sz="4" w:color="D6DBE3"/>
          <w:insideH w:val="single" w:sz="4" w:color="D6DBE3"/>
          <w:insideV w:val="single" w:sz="4" w:color="D6DBE3"/>
        </w:tblBorders>
        <w:tblLook w:val="04A0"/>
      </w:tblPr>
      <w:tblGrid>
        <w:gridCol w:w="4200"/>
        <w:gridCol w:w="4800"/>
      </w:tblGrid>
      <w:tr>
        <w:tc>
          <w:tcPr>
            <w:tcW w:w="42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Parámetro</w:t>
            </w:r>
          </w:p>
        </w:tc>
        <w:tc>
          <w:tcPr>
            <w:tcW w:w="48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Valor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40"/>
            </w:pPr>
            <w:r>
              <w:t xml:space="preserve">Potencia FV recomendada</w:t>
            </w:r>
          </w:p>
        </w:tc>
        <w:tc>
          <w:tcPr>
            <w:tcW w:w="4800" w:type="dxa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1,65 kWp (3 paneles de 550 W)</w:t>
            </w:r>
          </w:p>
        </w:tc>
      </w:tr>
      <w:tr>
        <w:tc>
          <w:tcPr>
            <w:tcW w:w="42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Inversor</w:t>
            </w:r>
          </w:p>
        </w:tc>
        <w:tc>
          <w:tcPr>
            <w:tcW w:w="48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Híbrido 3 kW (apto litio, con MPPT)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40"/>
            </w:pPr>
            <w:r>
              <w:t xml:space="preserve">Batería</w:t>
            </w:r>
          </w:p>
        </w:tc>
        <w:tc>
          <w:tcPr>
            <w:tcW w:w="4800" w:type="dxa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LiFePO4 48 V / 100 Ah (5,12 kWh)</w:t>
            </w:r>
          </w:p>
        </w:tc>
      </w:tr>
      <w:tr>
        <w:tc>
          <w:tcPr>
            <w:tcW w:w="42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Generación estimada</w:t>
            </w:r>
          </w:p>
        </w:tc>
        <w:tc>
          <w:tcPr>
            <w:tcW w:w="48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1.550 kWh/año (138 % del consumo)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40"/>
            </w:pPr>
            <w:r>
              <w:t xml:space="preserve">Inversión total (CAPEX)</w:t>
            </w:r>
          </w:p>
        </w:tc>
        <w:tc>
          <w:tcPr>
            <w:tcW w:w="4800" w:type="dxa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$ 4.310.250 CLP</w:t>
            </w:r>
          </w:p>
        </w:tc>
      </w:tr>
      <w:tr>
        <w:tc>
          <w:tcPr>
            <w:tcW w:w="42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VAN (8 %, 20 años)</w:t>
            </w:r>
          </w:p>
        </w:tc>
        <w:tc>
          <w:tcPr>
            <w:tcW w:w="4800" w:type="dxa"/>
            <w:shd w:val="clear" w:color="auto" w:fill="F4F6F9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-$ 2.032.020 CLP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40"/>
            </w:pPr>
            <w:r>
              <w:t xml:space="preserve">TIR</w:t>
            </w:r>
          </w:p>
        </w:tc>
        <w:tc>
          <w:tcPr>
            <w:tcW w:w="4800" w:type="dxa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1,4 %</w:t>
            </w:r>
          </w:p>
        </w:tc>
      </w:tr>
      <w:tr>
        <w:tc>
          <w:tcPr>
            <w:tcW w:w="42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PRI (simple)</w:t>
            </w:r>
          </w:p>
        </w:tc>
        <w:tc>
          <w:tcPr>
            <w:tcW w:w="4800" w:type="dxa"/>
            <w:shd w:val="clear" w:color="auto" w:fill="F4F6F9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18,2 años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 xml:space="preserve">Conclusión anticipada: </w:t>
      </w:r>
      <w:r>
        <w:t xml:space="preserve">el proyecto es técnicamente viable y cumple la normativa vigente, pero no es rentable financieramente con el consumo actual. El bajo consumo del cliente y el alto costo de la batería producen un VAN negativo. La batería se justifica como inversión de respaldo/resiliencia (continuidad ante interrupciones frecuentes en la zona sur), no como inversión de retorno económico.</w:t>
      </w:r>
    </w:p>
    <w:p>
      <w:pPr>
        <w:spacing w:after="80"/>
      </w:pPr>
      <w:r>
        <w:rPr>
          <w:b/>
          <w:color w:val="1B3A6B"/>
          <w:sz w:val="30"/>
          <w:szCs w:val="30"/>
        </w:rPr>
        <w:t xml:space="preserve">2. Objetivo y Alcance</w:t>
      </w:r>
    </w:p>
    <w:p>
      <w:pPr>
        <w:spacing w:after="120"/>
      </w:pPr>
      <w:r>
        <w:t xml:space="preserve">Diseñar a nivel de prefactibilidad un sistema de generación en base al recurso solar, dimensionando paneles, inversor, batería, materiales y protecciones; valorizar los componentes físicos y los recursos humanos; y evaluar la inversión mediante los indicadores VAN, TIR y PRI, conforme a la normativa chilena vigente y a las buenas prácticas del mercado.</w:t>
      </w:r>
    </w:p>
    <w:p>
      <w:pPr>
        <w:spacing w:after="80"/>
      </w:pPr>
      <w:r>
        <w:rPr>
          <w:b/>
          <w:color w:val="1B3A6B"/>
          <w:sz w:val="30"/>
          <w:szCs w:val="30"/>
        </w:rPr>
        <w:t xml:space="preserve">3. Análisis del Recurso Natural Renovable Disponible</w:t>
      </w:r>
    </w:p>
    <w:p>
      <w:pPr>
        <w:spacing w:after="60"/>
      </w:pPr>
      <w:r>
        <w:rPr>
          <w:b/>
          <w:color w:val="2B5AA0"/>
          <w:sz w:val="24"/>
          <w:szCs w:val="24"/>
        </w:rPr>
        <w:t xml:space="preserve">3.1 Localización</w:t>
      </w:r>
    </w:p>
    <w:p>
      <w:pPr>
        <w:numPr>
          <w:ilvl w:val="0"/>
          <w:numId w:val="1"/>
        </w:numPr>
        <w:spacing w:after="60"/>
      </w:pPr>
      <w:r>
        <w:t xml:space="preserve">Comuna: Puerto Montt, Región de Los Lagos.</w:t>
      </w:r>
    </w:p>
    <w:p>
      <w:pPr>
        <w:numPr>
          <w:ilvl w:val="0"/>
          <w:numId w:val="1"/>
        </w:numPr>
        <w:spacing w:after="60"/>
      </w:pPr>
      <w:r>
        <w:t xml:space="preserve">Latitud: -41,47° | Longitud: -72,94°.</w:t>
      </w:r>
    </w:p>
    <w:p>
      <w:pPr>
        <w:numPr>
          <w:ilvl w:val="0"/>
          <w:numId w:val="1"/>
        </w:numPr>
        <w:spacing w:after="60"/>
      </w:pPr>
      <w:r>
        <w:t xml:space="preserve">Clima: templado lluvioso oceánico, con alta nubosidad y estacionalidad marcada.</w:t>
      </w:r>
    </w:p>
    <w:p>
      <w:pPr>
        <w:spacing w:after="60"/>
      </w:pPr>
      <w:r>
        <w:rPr>
          <w:b/>
          <w:color w:val="2B5AA0"/>
          <w:sz w:val="24"/>
          <w:szCs w:val="24"/>
        </w:rPr>
        <w:t xml:space="preserve">3.2 Recurso solar (Explorador Solar - Min. Energía / metodología PVGIS)</w:t>
      </w:r>
    </w:p>
    <w:tbl>
      <w:tblPr>
        <w:tblW w:w="9000" w:type="dxa"/>
        <w:tblBorders>
          <w:top w:val="single" w:sz="4" w:color="D6DBE3"/>
          <w:left w:val="single" w:sz="4" w:color="D6DBE3"/>
          <w:bottom w:val="single" w:sz="4" w:color="D6DBE3"/>
          <w:right w:val="single" w:sz="4" w:color="D6DBE3"/>
          <w:insideH w:val="single" w:sz="4" w:color="D6DBE3"/>
          <w:insideV w:val="single" w:sz="4" w:color="D6DBE3"/>
        </w:tblBorders>
        <w:tblLook w:val="04A0"/>
      </w:tblPr>
      <w:tblGrid>
        <w:gridCol w:w="5400"/>
        <w:gridCol w:w="3600"/>
      </w:tblGrid>
      <w:tr>
        <w:tc>
          <w:tcPr>
            <w:tcW w:w="54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36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Valor estimado</w:t>
            </w:r>
          </w:p>
        </w:tc>
      </w:tr>
      <w:tr>
        <w:tc>
          <w:tcPr>
            <w:tcW w:w="5400" w:type="dxa"/>
            <w:vAlign w:val="center"/>
          </w:tcPr>
          <w:p>
            <w:pPr>
              <w:spacing w:after="40"/>
            </w:pPr>
            <w:r>
              <w:t xml:space="preserve">Irradiación / HSP promedio anual (plano 35°)</w:t>
            </w:r>
          </w:p>
        </w:tc>
        <w:tc>
          <w:tcPr>
            <w:tcW w:w="3600" w:type="dxa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3,3 kWh/m²/día</w:t>
            </w:r>
          </w:p>
        </w:tc>
      </w:tr>
      <w:tr>
        <w:tc>
          <w:tcPr>
            <w:tcW w:w="54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HSP verano (Dic-Ene)</w:t>
            </w:r>
          </w:p>
        </w:tc>
        <w:tc>
          <w:tcPr>
            <w:tcW w:w="36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aprox. 5,5 kWh/m²/día</w:t>
            </w:r>
          </w:p>
        </w:tc>
      </w:tr>
      <w:tr>
        <w:tc>
          <w:tcPr>
            <w:tcW w:w="5400" w:type="dxa"/>
            <w:vAlign w:val="center"/>
          </w:tcPr>
          <w:p>
            <w:pPr>
              <w:spacing w:after="40"/>
            </w:pPr>
            <w:r>
              <w:t xml:space="preserve">HSP invierno (Jun-Jul)</w:t>
            </w:r>
          </w:p>
        </w:tc>
        <w:tc>
          <w:tcPr>
            <w:tcW w:w="3600" w:type="dxa"/>
            <w:vAlign w:val="center"/>
          </w:tcPr>
          <w:p>
            <w:pPr>
              <w:spacing w:after="40"/>
            </w:pPr>
            <w:r>
              <w:t xml:space="preserve">aprox. 1,3 kWh/m²/día</w:t>
            </w:r>
          </w:p>
        </w:tc>
      </w:tr>
      <w:tr>
        <w:tc>
          <w:tcPr>
            <w:tcW w:w="54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Ángulo de inclinación óptimo</w:t>
            </w:r>
          </w:p>
        </w:tc>
        <w:tc>
          <w:tcPr>
            <w:tcW w:w="36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aprox. 35-40° (~ latitud)</w:t>
            </w:r>
          </w:p>
        </w:tc>
      </w:tr>
      <w:tr>
        <w:tc>
          <w:tcPr>
            <w:tcW w:w="5400" w:type="dxa"/>
            <w:vAlign w:val="center"/>
          </w:tcPr>
          <w:p>
            <w:pPr>
              <w:spacing w:after="40"/>
            </w:pPr>
            <w:r>
              <w:t xml:space="preserve">Orientación óptima</w:t>
            </w:r>
          </w:p>
        </w:tc>
        <w:tc>
          <w:tcPr>
            <w:tcW w:w="3600" w:type="dxa"/>
            <w:vAlign w:val="center"/>
          </w:tcPr>
          <w:p>
            <w:pPr>
              <w:spacing w:after="40"/>
            </w:pPr>
            <w:r>
              <w:t xml:space="preserve">Norte franco (azimut 0°)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color w:val="2B5AA0"/>
          <w:sz w:val="24"/>
          <w:szCs w:val="24"/>
        </w:rPr>
        <w:t xml:space="preserve">3.3 Requerimientos mínimos de viabilidad</w:t>
      </w:r>
    </w:p>
    <w:p>
      <w:pPr>
        <w:numPr>
          <w:ilvl w:val="0"/>
          <w:numId w:val="1"/>
        </w:numPr>
        <w:spacing w:after="60"/>
      </w:pPr>
      <w:r>
        <w:t xml:space="preserve">Irradiación mínima recomendada: &gt; 3,0 kWh/m²/día -&gt; se cumple (3,3).</w:t>
      </w:r>
    </w:p>
    <w:p>
      <w:pPr>
        <w:numPr>
          <w:ilvl w:val="0"/>
          <w:numId w:val="1"/>
        </w:numPr>
        <w:spacing w:after="60"/>
      </w:pPr>
      <w:r>
        <w:t xml:space="preserve">Superficie de techo: aprox. 10 m² con orientación norte, libre de sombras (a verificar en visita técnica).</w:t>
      </w:r>
    </w:p>
    <w:p>
      <w:pPr>
        <w:numPr>
          <w:ilvl w:val="0"/>
          <w:numId w:val="1"/>
        </w:numPr>
        <w:spacing w:after="60"/>
      </w:pPr>
      <w:r>
        <w:t xml:space="preserve">Estructura de soporte: capacidad para aprox. 15 kg/panel.</w:t>
      </w:r>
    </w:p>
    <w:p>
      <w:pPr>
        <w:spacing w:after="120"/>
      </w:pPr>
      <w:r>
        <w:rPr>
          <w:b/>
          <w:color w:val="1B3A6B"/>
        </w:rPr>
        <w:t xml:space="preserve">Veredicto del recurso: VIABLE. </w:t>
      </w:r>
      <w:r>
        <w:t xml:space="preserve">Recurso modesto pero suficiente. La fuerte estacionalidad hace recomendable el net billing para banquear excedentes de verano.</w:t>
      </w:r>
    </w:p>
    <w:p>
      <w:pPr>
        <w:spacing w:after="80"/>
      </w:pPr>
      <w:r>
        <w:rPr>
          <w:b/>
          <w:color w:val="1B3A6B"/>
          <w:sz w:val="30"/>
          <w:szCs w:val="30"/>
        </w:rPr>
        <w:t xml:space="preserve">4. Determinación del Consumo Energético</w:t>
      </w:r>
    </w:p>
    <w:p>
      <w:pPr>
        <w:spacing w:after="120"/>
      </w:pPr>
      <w:r>
        <w:t xml:space="preserve">Datos obtenidos de la boleta electrónica SAESA N° 76633459.</w:t>
      </w:r>
    </w:p>
    <w:p>
      <w:pPr>
        <w:spacing w:after="60"/>
      </w:pPr>
      <w:r>
        <w:rPr>
          <w:b/>
          <w:color w:val="2B5AA0"/>
          <w:sz w:val="24"/>
          <w:szCs w:val="24"/>
        </w:rPr>
        <w:t xml:space="preserve">4.1 Consumo histórico (últimos 13 meses)</w:t>
      </w:r>
    </w:p>
    <w:tbl>
      <w:tblPr>
        <w:tblW w:w="9000" w:type="dxa"/>
        <w:tblBorders>
          <w:top w:val="single" w:sz="4" w:color="D6DBE3"/>
          <w:left w:val="single" w:sz="4" w:color="D6DBE3"/>
          <w:bottom w:val="single" w:sz="4" w:color="D6DBE3"/>
          <w:right w:val="single" w:sz="4" w:color="D6DBE3"/>
          <w:insideH w:val="single" w:sz="4" w:color="D6DBE3"/>
          <w:insideV w:val="single" w:sz="4" w:color="D6DBE3"/>
        </w:tblBorders>
        <w:tblLook w:val="04A0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Mes</w:t>
            </w:r>
          </w:p>
        </w:tc>
        <w:tc>
          <w:tcPr>
            <w:tcW w:w="225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kWh</w:t>
            </w:r>
          </w:p>
        </w:tc>
        <w:tc>
          <w:tcPr>
            <w:tcW w:w="225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Mes</w:t>
            </w:r>
          </w:p>
        </w:tc>
        <w:tc>
          <w:tcPr>
            <w:tcW w:w="225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kWh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40"/>
            </w:pPr>
            <w:r>
              <w:t xml:space="preserve">May-25</w:t>
            </w:r>
          </w:p>
        </w:tc>
        <w:tc>
          <w:tcPr>
            <w:tcW w:w="2250" w:type="dxa"/>
            <w:vAlign w:val="center"/>
          </w:tcPr>
          <w:p>
            <w:pPr>
              <w:spacing w:after="40"/>
            </w:pPr>
            <w:r>
              <w:t xml:space="preserve">76</w:t>
            </w:r>
          </w:p>
        </w:tc>
        <w:tc>
          <w:tcPr>
            <w:tcW w:w="2250" w:type="dxa"/>
            <w:vAlign w:val="center"/>
          </w:tcPr>
          <w:p>
            <w:pPr>
              <w:spacing w:after="40"/>
            </w:pPr>
            <w:r>
              <w:t xml:space="preserve">Dic-25</w:t>
            </w:r>
          </w:p>
        </w:tc>
        <w:tc>
          <w:tcPr>
            <w:tcW w:w="2250" w:type="dxa"/>
            <w:vAlign w:val="center"/>
          </w:tcPr>
          <w:p>
            <w:pPr>
              <w:spacing w:after="40"/>
            </w:pPr>
            <w:r>
              <w:t xml:space="preserve">120</w:t>
            </w:r>
          </w:p>
        </w:tc>
      </w:tr>
      <w:tr>
        <w:tc>
          <w:tcPr>
            <w:tcW w:w="225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Jun-25</w:t>
            </w:r>
          </w:p>
        </w:tc>
        <w:tc>
          <w:tcPr>
            <w:tcW w:w="225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106</w:t>
            </w:r>
          </w:p>
        </w:tc>
        <w:tc>
          <w:tcPr>
            <w:tcW w:w="225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Ene-26</w:t>
            </w:r>
          </w:p>
        </w:tc>
        <w:tc>
          <w:tcPr>
            <w:tcW w:w="225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134 (máx)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40"/>
            </w:pPr>
            <w:r>
              <w:t xml:space="preserve">Jul-25</w:t>
            </w:r>
          </w:p>
        </w:tc>
        <w:tc>
          <w:tcPr>
            <w:tcW w:w="2250" w:type="dxa"/>
            <w:vAlign w:val="center"/>
          </w:tcPr>
          <w:p>
            <w:pPr>
              <w:spacing w:after="40"/>
            </w:pPr>
            <w:r>
              <w:t xml:space="preserve">93</w:t>
            </w:r>
          </w:p>
        </w:tc>
        <w:tc>
          <w:tcPr>
            <w:tcW w:w="2250" w:type="dxa"/>
            <w:vAlign w:val="center"/>
          </w:tcPr>
          <w:p>
            <w:pPr>
              <w:spacing w:after="40"/>
            </w:pPr>
            <w:r>
              <w:t xml:space="preserve">Feb-26</w:t>
            </w:r>
          </w:p>
        </w:tc>
        <w:tc>
          <w:tcPr>
            <w:tcW w:w="2250" w:type="dxa"/>
            <w:vAlign w:val="center"/>
          </w:tcPr>
          <w:p>
            <w:pPr>
              <w:spacing w:after="40"/>
            </w:pPr>
            <w:r>
              <w:t xml:space="preserve">116</w:t>
            </w:r>
          </w:p>
        </w:tc>
      </w:tr>
      <w:tr>
        <w:tc>
          <w:tcPr>
            <w:tcW w:w="225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Ago-25</w:t>
            </w:r>
          </w:p>
        </w:tc>
        <w:tc>
          <w:tcPr>
            <w:tcW w:w="225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56 (mín)</w:t>
            </w:r>
          </w:p>
        </w:tc>
        <w:tc>
          <w:tcPr>
            <w:tcW w:w="225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Mar-26</w:t>
            </w:r>
          </w:p>
        </w:tc>
        <w:tc>
          <w:tcPr>
            <w:tcW w:w="225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112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40"/>
            </w:pPr>
            <w:r>
              <w:t xml:space="preserve">Sep-25</w:t>
            </w:r>
          </w:p>
        </w:tc>
        <w:tc>
          <w:tcPr>
            <w:tcW w:w="2250" w:type="dxa"/>
            <w:vAlign w:val="center"/>
          </w:tcPr>
          <w:p>
            <w:pPr>
              <w:spacing w:after="40"/>
            </w:pPr>
            <w:r>
              <w:t xml:space="preserve">91</w:t>
            </w:r>
          </w:p>
        </w:tc>
        <w:tc>
          <w:tcPr>
            <w:tcW w:w="2250" w:type="dxa"/>
            <w:vAlign w:val="center"/>
          </w:tcPr>
          <w:p>
            <w:pPr>
              <w:spacing w:after="40"/>
            </w:pPr>
            <w:r>
              <w:t xml:space="preserve">Abr-26</w:t>
            </w:r>
          </w:p>
        </w:tc>
        <w:tc>
          <w:tcPr>
            <w:tcW w:w="2250" w:type="dxa"/>
            <w:vAlign w:val="center"/>
          </w:tcPr>
          <w:p>
            <w:pPr>
              <w:spacing w:after="40"/>
            </w:pPr>
            <w:r>
              <w:t xml:space="preserve">88</w:t>
            </w:r>
          </w:p>
        </w:tc>
      </w:tr>
      <w:tr>
        <w:tc>
          <w:tcPr>
            <w:tcW w:w="225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Oct-25</w:t>
            </w:r>
          </w:p>
        </w:tc>
        <w:tc>
          <w:tcPr>
            <w:tcW w:w="225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85</w:t>
            </w:r>
          </w:p>
        </w:tc>
        <w:tc>
          <w:tcPr>
            <w:tcW w:w="225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May-26</w:t>
            </w:r>
          </w:p>
        </w:tc>
        <w:tc>
          <w:tcPr>
            <w:tcW w:w="225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87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40"/>
            </w:pPr>
            <w:r>
              <w:t xml:space="preserve">Nov-25</w:t>
            </w:r>
          </w:p>
        </w:tc>
        <w:tc>
          <w:tcPr>
            <w:tcW w:w="2250" w:type="dxa"/>
            <w:vAlign w:val="center"/>
          </w:tcPr>
          <w:p>
            <w:pPr>
              <w:spacing w:after="40"/>
            </w:pPr>
            <w:r>
              <w:t xml:space="preserve">61</w:t>
            </w:r>
          </w:p>
        </w:tc>
        <w:tc>
          <w:tcPr>
            <w:tcW w:w="2250" w:type="dxa"/>
            <w:vAlign w:val="cente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w="2250" w:type="dxa"/>
            <w:vAlign w:val="center"/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color w:val="2B5AA0"/>
          <w:sz w:val="24"/>
          <w:szCs w:val="24"/>
        </w:rPr>
        <w:t xml:space="preserve">4.2 Parámetros de diseño</w:t>
      </w:r>
    </w:p>
    <w:tbl>
      <w:tblPr>
        <w:tblW w:w="9000" w:type="dxa"/>
        <w:tblBorders>
          <w:top w:val="single" w:sz="4" w:color="D6DBE3"/>
          <w:left w:val="single" w:sz="4" w:color="D6DBE3"/>
          <w:bottom w:val="single" w:sz="4" w:color="D6DBE3"/>
          <w:right w:val="single" w:sz="4" w:color="D6DBE3"/>
          <w:insideH w:val="single" w:sz="4" w:color="D6DBE3"/>
          <w:insideV w:val="single" w:sz="4" w:color="D6DBE3"/>
        </w:tblBorders>
        <w:tblLook w:val="04A0"/>
      </w:tblPr>
      <w:tblGrid>
        <w:gridCol w:w="5400"/>
        <w:gridCol w:w="3600"/>
      </w:tblGrid>
      <w:tr>
        <w:tc>
          <w:tcPr>
            <w:tcW w:w="54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Parámetro</w:t>
            </w:r>
          </w:p>
        </w:tc>
        <w:tc>
          <w:tcPr>
            <w:tcW w:w="36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Valor</w:t>
            </w:r>
          </w:p>
        </w:tc>
      </w:tr>
      <w:tr>
        <w:tc>
          <w:tcPr>
            <w:tcW w:w="5400" w:type="dxa"/>
            <w:vAlign w:val="center"/>
          </w:tcPr>
          <w:p>
            <w:pPr>
              <w:spacing w:after="40"/>
            </w:pPr>
            <w:r>
              <w:t xml:space="preserve">Consumo promedio mensual (boleta)</w:t>
            </w:r>
          </w:p>
        </w:tc>
        <w:tc>
          <w:tcPr>
            <w:tcW w:w="3600" w:type="dxa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93,53 kWh/mes</w:t>
            </w:r>
          </w:p>
        </w:tc>
      </w:tr>
      <w:tr>
        <w:tc>
          <w:tcPr>
            <w:tcW w:w="54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Consumo anual de diseño</w:t>
            </w:r>
          </w:p>
        </w:tc>
        <w:tc>
          <w:tcPr>
            <w:tcW w:w="3600" w:type="dxa"/>
            <w:shd w:val="clear" w:color="auto" w:fill="F4F6F9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1.122 kWh/año</w:t>
            </w:r>
          </w:p>
        </w:tc>
      </w:tr>
      <w:tr>
        <w:tc>
          <w:tcPr>
            <w:tcW w:w="5400" w:type="dxa"/>
            <w:vAlign w:val="center"/>
          </w:tcPr>
          <w:p>
            <w:pPr>
              <w:spacing w:after="40"/>
            </w:pPr>
            <w:r>
              <w:t xml:space="preserve">Consumo diario promedio</w:t>
            </w:r>
          </w:p>
        </w:tc>
        <w:tc>
          <w:tcPr>
            <w:tcW w:w="3600" w:type="dxa"/>
            <w:vAlign w:val="center"/>
          </w:tcPr>
          <w:p>
            <w:pPr>
              <w:spacing w:after="40"/>
            </w:pPr>
            <w:r>
              <w:t xml:space="preserve">aprox. 3,1 kWh/día</w:t>
            </w:r>
          </w:p>
        </w:tc>
      </w:tr>
      <w:tr>
        <w:tc>
          <w:tcPr>
            <w:tcW w:w="54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Mes de mayor consumo</w:t>
            </w:r>
          </w:p>
        </w:tc>
        <w:tc>
          <w:tcPr>
            <w:tcW w:w="36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Enero (134 kWh)</w:t>
            </w:r>
          </w:p>
        </w:tc>
      </w:tr>
      <w:tr>
        <w:tc>
          <w:tcPr>
            <w:tcW w:w="5400" w:type="dxa"/>
            <w:vAlign w:val="center"/>
          </w:tcPr>
          <w:p>
            <w:pPr>
              <w:spacing w:after="40"/>
            </w:pPr>
            <w:r>
              <w:t xml:space="preserve">Mes de menor consumo</w:t>
            </w:r>
          </w:p>
        </w:tc>
        <w:tc>
          <w:tcPr>
            <w:tcW w:w="3600" w:type="dxa"/>
            <w:vAlign w:val="center"/>
          </w:tcPr>
          <w:p>
            <w:pPr>
              <w:spacing w:after="40"/>
            </w:pPr>
            <w:r>
              <w:t xml:space="preserve">Agosto (56 kWh)</w:t>
            </w:r>
          </w:p>
        </w:tc>
      </w:tr>
      <w:tr>
        <w:tc>
          <w:tcPr>
            <w:tcW w:w="54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Costo variable de energía (referencia boleta)</w:t>
            </w:r>
          </w:p>
        </w:tc>
        <w:tc>
          <w:tcPr>
            <w:tcW w:w="36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aprox. $222-255 /kWh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1B3A6B"/>
          <w:sz w:val="30"/>
          <w:szCs w:val="30"/>
        </w:rPr>
        <w:t xml:space="preserve">5. Diseño de Prefactibilidad del Sistema</w:t>
      </w:r>
    </w:p>
    <w:p>
      <w:pPr>
        <w:spacing w:after="60"/>
      </w:pPr>
      <w:r>
        <w:rPr>
          <w:b/>
          <w:color w:val="2B5AA0"/>
          <w:sz w:val="24"/>
          <w:szCs w:val="24"/>
        </w:rPr>
        <w:t xml:space="preserve">5.1 Normativa y marco regulatorio</w:t>
      </w:r>
    </w:p>
    <w:p>
      <w:pPr>
        <w:numPr>
          <w:ilvl w:val="0"/>
          <w:numId w:val="1"/>
        </w:numPr>
        <w:spacing w:after="60"/>
      </w:pPr>
      <w:r>
        <w:t xml:space="preserve">Ley 21.118 (Net Billing / Generación Distribuida): autogeneración con ERNC e inyección de excedentes, hasta 300 kW.</w:t>
      </w:r>
    </w:p>
    <w:p>
      <w:pPr>
        <w:numPr>
          <w:ilvl w:val="0"/>
          <w:numId w:val="1"/>
        </w:numPr>
        <w:spacing w:after="60"/>
      </w:pPr>
      <w:r>
        <w:t xml:space="preserve">NCh Elec. 4/2003: instalaciones eléctricas de consumo en baja tensión.</w:t>
      </w:r>
    </w:p>
    <w:p>
      <w:pPr>
        <w:numPr>
          <w:ilvl w:val="0"/>
          <w:numId w:val="1"/>
        </w:numPr>
        <w:spacing w:after="60"/>
      </w:pPr>
      <w:r>
        <w:t xml:space="preserve">Pliego técnico RGR N°02 (SEC) para generación distribuida.</w:t>
      </w:r>
    </w:p>
    <w:p>
      <w:pPr>
        <w:numPr>
          <w:ilvl w:val="0"/>
          <w:numId w:val="1"/>
        </w:numPr>
        <w:spacing w:after="60"/>
      </w:pPr>
      <w:r>
        <w:t xml:space="preserve">Declaración TE-4 ante la SEC por instalador eléctrico autorizado.</w:t>
      </w:r>
    </w:p>
    <w:p>
      <w:pPr>
        <w:numPr>
          <w:ilvl w:val="0"/>
          <w:numId w:val="1"/>
        </w:numPr>
        <w:spacing w:after="60"/>
      </w:pPr>
      <w:r>
        <w:t xml:space="preserve">Solicitud de conexión y medidor bidireccional ante SAESA.</w:t>
      </w:r>
    </w:p>
    <w:p>
      <w:pPr>
        <w:numPr>
          <w:ilvl w:val="0"/>
          <w:numId w:val="1"/>
        </w:numPr>
        <w:spacing w:after="60"/>
      </w:pPr>
      <w:r>
        <w:t xml:space="preserve">Equipos con certificación SEC obligatoria.</w:t>
      </w:r>
    </w:p>
    <w:p>
      <w:pPr>
        <w:spacing w:after="60"/>
      </w:pPr>
      <w:r>
        <w:rPr>
          <w:b/>
          <w:color w:val="2B5AA0"/>
          <w:sz w:val="24"/>
          <w:szCs w:val="24"/>
        </w:rPr>
        <w:t xml:space="preserve">5.2 Dimensionamiento del generador fotovoltaico</w:t>
      </w:r>
    </w:p>
    <w:p>
      <w:pPr>
        <w:spacing w:after="120"/>
      </w:pPr>
      <w:r>
        <w:rPr>
          <w:b/>
        </w:rPr>
        <w:t xml:space="preserve">Rendimiento específico (yield) = HSP x 365 x PR = 3,3 x 365 x 0,78 = 940 kWh/kWp/año</w:t>
      </w:r>
    </w:p>
    <w:p>
      <w:pPr>
        <w:spacing w:after="120"/>
      </w:pPr>
      <w:r>
        <w:t xml:space="preserve">Potencia teórica (100% consumo) = 1.122 / 940 = 1,19 kWp</w:t>
      </w:r>
    </w:p>
    <w:p>
      <w:pPr>
        <w:spacing w:after="120"/>
      </w:pPr>
      <w:r>
        <w:t xml:space="preserve">Potencia adoptada = 3 x 550 W = 1,65 kWp</w:t>
      </w:r>
    </w:p>
    <w:p>
      <w:pPr>
        <w:spacing w:after="120"/>
      </w:pPr>
      <w:r>
        <w:rPr>
          <w:b/>
        </w:rPr>
        <w:t xml:space="preserve">Generación anual = 1,65 x 940 = 1.550 kWh/año (138% del consumo)</w:t>
      </w:r>
    </w:p>
    <w:p>
      <w:pPr>
        <w:spacing w:after="120"/>
      </w:pPr>
      <w:r>
        <w:t xml:space="preserve">El sobredimensionamiento (1,65 vs 1,19 kWp) cubre pérdidas de batería (round-trip aprox. 90 %), degradación de paneles (0,7 %/año) y la estacionalidad invernal.</w:t>
      </w:r>
    </w:p>
    <w:p>
      <w:pPr>
        <w:spacing w:after="60"/>
      </w:pPr>
      <w:r>
        <w:rPr>
          <w:b/>
          <w:color w:val="2B5AA0"/>
          <w:sz w:val="24"/>
          <w:szCs w:val="24"/>
        </w:rPr>
        <w:t xml:space="preserve">5.3 Inversor</w:t>
      </w:r>
    </w:p>
    <w:p>
      <w:pPr>
        <w:spacing w:after="120"/>
      </w:pPr>
      <w:r>
        <w:t xml:space="preserve">Inversor híbrido monofásico 3 kW, con MPPT integrado, gestión de batería de litio y función de respaldo (backup) ante corte de red. Ratio DC/AC conservador que permite ampliación futura.</w:t>
      </w:r>
    </w:p>
    <w:p>
      <w:pPr>
        <w:spacing w:after="60"/>
      </w:pPr>
      <w:r>
        <w:rPr>
          <w:b/>
          <w:color w:val="2B5AA0"/>
          <w:sz w:val="24"/>
          <w:szCs w:val="24"/>
        </w:rPr>
        <w:t xml:space="preserve">5.4 Batería de litio</w:t>
      </w:r>
    </w:p>
    <w:p>
      <w:pPr>
        <w:spacing w:after="120"/>
      </w:pPr>
      <w:r>
        <w:rPr>
          <w:b/>
        </w:rPr>
        <w:t xml:space="preserve">Batería LiFePO4 48V/100Ah = 5,12 kWh nominales | Energía útil (DoD 90%) = 4,61 kWh | Autonomía aprox. 1,5 días de consumo.</w:t>
      </w:r>
    </w:p>
    <w:p>
      <w:pPr>
        <w:spacing w:after="120"/>
      </w:pPr>
      <w:r>
        <w:t xml:space="preserve">Química LiFePO4 por seguridad, vida útil (&gt; 6.000 ciclos) y tolerancia al clima frío. Función: desplazar el autoconsumo al horario nocturno y dar respaldo ante cortes.</w:t>
      </w:r>
    </w:p>
    <w:p>
      <w:pPr>
        <w:spacing w:after="60"/>
      </w:pPr>
      <w:r>
        <w:rPr>
          <w:b/>
          <w:color w:val="2B5AA0"/>
          <w:sz w:val="24"/>
          <w:szCs w:val="24"/>
        </w:rPr>
        <w:t xml:space="preserve">5.5 Balance energético anual (Net Billing)</w:t>
      </w:r>
    </w:p>
    <w:tbl>
      <w:tblPr>
        <w:tblW w:w="9000" w:type="dxa"/>
        <w:tblBorders>
          <w:top w:val="single" w:sz="4" w:color="D6DBE3"/>
          <w:left w:val="single" w:sz="4" w:color="D6DBE3"/>
          <w:bottom w:val="single" w:sz="4" w:color="D6DBE3"/>
          <w:right w:val="single" w:sz="4" w:color="D6DBE3"/>
          <w:insideH w:val="single" w:sz="4" w:color="D6DBE3"/>
          <w:insideV w:val="single" w:sz="4" w:color="D6DBE3"/>
        </w:tblBorders>
        <w:tblLook w:val="04A0"/>
      </w:tblPr>
      <w:tblGrid>
        <w:gridCol w:w="5400"/>
        <w:gridCol w:w="3600"/>
      </w:tblGrid>
      <w:tr>
        <w:tc>
          <w:tcPr>
            <w:tcW w:w="54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Flujo</w:t>
            </w:r>
          </w:p>
        </w:tc>
        <w:tc>
          <w:tcPr>
            <w:tcW w:w="36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kWh/año</w:t>
            </w:r>
          </w:p>
        </w:tc>
      </w:tr>
      <w:tr>
        <w:tc>
          <w:tcPr>
            <w:tcW w:w="5400" w:type="dxa"/>
            <w:vAlign w:val="center"/>
          </w:tcPr>
          <w:p>
            <w:pPr>
              <w:spacing w:after="40"/>
            </w:pPr>
            <w:r>
              <w:t xml:space="preserve">Generación FV</w:t>
            </w:r>
          </w:p>
        </w:tc>
        <w:tc>
          <w:tcPr>
            <w:tcW w:w="3600" w:type="dxa"/>
            <w:vAlign w:val="center"/>
          </w:tcPr>
          <w:p>
            <w:pPr>
              <w:spacing w:after="40"/>
            </w:pPr>
            <w:r>
              <w:t xml:space="preserve">1.550</w:t>
            </w:r>
          </w:p>
        </w:tc>
      </w:tr>
      <w:tr>
        <w:tc>
          <w:tcPr>
            <w:tcW w:w="54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Autoconsumo (directo + batería)</w:t>
            </w:r>
          </w:p>
        </w:tc>
        <w:tc>
          <w:tcPr>
            <w:tcW w:w="36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1.010</w:t>
            </w:r>
          </w:p>
        </w:tc>
      </w:tr>
      <w:tr>
        <w:tc>
          <w:tcPr>
            <w:tcW w:w="5400" w:type="dxa"/>
            <w:vAlign w:val="center"/>
          </w:tcPr>
          <w:p>
            <w:pPr>
              <w:spacing w:after="40"/>
            </w:pPr>
            <w:r>
              <w:t xml:space="preserve">Importación desde la red</w:t>
            </w:r>
          </w:p>
        </w:tc>
        <w:tc>
          <w:tcPr>
            <w:tcW w:w="3600" w:type="dxa"/>
            <w:vAlign w:val="center"/>
          </w:tcPr>
          <w:p>
            <w:pPr>
              <w:spacing w:after="40"/>
            </w:pPr>
            <w:r>
              <w:t xml:space="preserve">112</w:t>
            </w:r>
          </w:p>
        </w:tc>
      </w:tr>
      <w:tr>
        <w:tc>
          <w:tcPr>
            <w:tcW w:w="54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Excedente inyectado a la red</w:t>
            </w:r>
          </w:p>
        </w:tc>
        <w:tc>
          <w:tcPr>
            <w:tcW w:w="3600" w:type="dxa"/>
            <w:shd w:val="clear" w:color="auto" w:fill="F4F6F9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540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color w:val="2B5AA0"/>
          <w:sz w:val="24"/>
          <w:szCs w:val="24"/>
        </w:rPr>
        <w:t xml:space="preserve">5.6 Materiales y protecciones (NCh Elec 4/2003)</w:t>
      </w:r>
    </w:p>
    <w:p>
      <w:pPr>
        <w:numPr>
          <w:ilvl w:val="0"/>
          <w:numId w:val="1"/>
        </w:numPr>
        <w:spacing w:after="60"/>
      </w:pPr>
      <w:r>
        <w:t xml:space="preserve">Estructura de aluminio anodizado + tornillería inoxidable.</w:t>
      </w:r>
    </w:p>
    <w:p>
      <w:pPr>
        <w:numPr>
          <w:ilvl w:val="0"/>
          <w:numId w:val="1"/>
        </w:numPr>
        <w:spacing w:after="60"/>
      </w:pPr>
      <w:r>
        <w:t xml:space="preserve">Cable solar 4-6 mm² (DC), conectores MC4.</w:t>
      </w:r>
    </w:p>
    <w:p>
      <w:pPr>
        <w:numPr>
          <w:ilvl w:val="0"/>
          <w:numId w:val="1"/>
        </w:numPr>
        <w:spacing w:after="60"/>
      </w:pPr>
      <w:r>
        <w:t xml:space="preserve">Protecciones DC: fusibles gPV, seccionador DC, descargador (DPS).</w:t>
      </w:r>
    </w:p>
    <w:p>
      <w:pPr>
        <w:numPr>
          <w:ilvl w:val="0"/>
          <w:numId w:val="1"/>
        </w:numPr>
        <w:spacing w:after="60"/>
      </w:pPr>
      <w:r>
        <w:t xml:space="preserve">Protecciones AC: interruptor automático, diferencial, DPS AC.</w:t>
      </w:r>
    </w:p>
    <w:p>
      <w:pPr>
        <w:numPr>
          <w:ilvl w:val="0"/>
          <w:numId w:val="1"/>
        </w:numPr>
        <w:spacing w:after="60"/>
      </w:pPr>
      <w:r>
        <w:t xml:space="preserve">Puesta a tierra (SPT) de estructura y equipos.</w:t>
      </w:r>
    </w:p>
    <w:p>
      <w:pPr>
        <w:numPr>
          <w:ilvl w:val="0"/>
          <w:numId w:val="1"/>
        </w:numPr>
        <w:spacing w:after="60"/>
      </w:pPr>
      <w:r>
        <w:t xml:space="preserve">Medidor bidireccional (habilitado por la distribuidora).</w:t>
      </w:r>
    </w:p>
    <w:p>
      <w:pPr>
        <w:spacing w:after="80"/>
      </w:pPr>
      <w:r>
        <w:rPr>
          <w:b/>
          <w:color w:val="1B3A6B"/>
          <w:sz w:val="30"/>
          <w:szCs w:val="30"/>
        </w:rPr>
        <w:t xml:space="preserve">6. Valorización de Componentes Físicos (CAPEX de equipos)</w:t>
      </w:r>
    </w:p>
    <w:p>
      <w:pPr>
        <w:spacing w:after="120"/>
      </w:pPr>
      <w:r>
        <w:t xml:space="preserve">Valores referenciales de mercado chileno 2025-2026 (IVA incluido), en CLP.</w:t>
      </w:r>
    </w:p>
    <w:tbl>
      <w:tblPr>
        <w:tblW w:w="9000" w:type="dxa"/>
        <w:tblBorders>
          <w:top w:val="single" w:sz="4" w:color="D6DBE3"/>
          <w:left w:val="single" w:sz="4" w:color="D6DBE3"/>
          <w:bottom w:val="single" w:sz="4" w:color="D6DBE3"/>
          <w:right w:val="single" w:sz="4" w:color="D6DBE3"/>
          <w:insideH w:val="single" w:sz="4" w:color="D6DBE3"/>
          <w:insideV w:val="single" w:sz="4" w:color="D6DBE3"/>
        </w:tblBorders>
        <w:tblLook w:val="04A0"/>
      </w:tblPr>
      <w:tblGrid>
        <w:gridCol w:w="6000"/>
        <w:gridCol w:w="3000"/>
      </w:tblGrid>
      <w:tr>
        <w:tc>
          <w:tcPr>
            <w:tcW w:w="60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Ítem</w:t>
            </w:r>
          </w:p>
        </w:tc>
        <w:tc>
          <w:tcPr>
            <w:tcW w:w="30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Total CLP</w:t>
            </w:r>
          </w:p>
        </w:tc>
      </w:tr>
      <w:tr>
        <w:tc>
          <w:tcPr>
            <w:tcW w:w="6000" w:type="dxa"/>
            <w:vAlign w:val="center"/>
          </w:tcPr>
          <w:p>
            <w:pPr>
              <w:spacing w:after="40"/>
            </w:pPr>
            <w:r>
              <w:t xml:space="preserve">Panel solar 550 W monocristalino (x3)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t xml:space="preserve">225.000</w:t>
            </w:r>
          </w:p>
        </w:tc>
      </w:tr>
      <w:tr>
        <w:tc>
          <w:tcPr>
            <w:tcW w:w="60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Inversor híbrido 3 kW (MPPT, apto litio)</w:t>
            </w:r>
          </w:p>
        </w:tc>
        <w:tc>
          <w:tcPr>
            <w:tcW w:w="30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650.000</w:t>
            </w:r>
          </w:p>
        </w:tc>
      </w:tr>
      <w:tr>
        <w:tc>
          <w:tcPr>
            <w:tcW w:w="6000" w:type="dxa"/>
            <w:vAlign w:val="center"/>
          </w:tcPr>
          <w:p>
            <w:pPr>
              <w:spacing w:after="40"/>
            </w:pPr>
            <w:r>
              <w:t xml:space="preserve">Batería LiFePO4 48V/100Ah (5,12 kWh)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t xml:space="preserve">1.400.000</w:t>
            </w:r>
          </w:p>
        </w:tc>
      </w:tr>
      <w:tr>
        <w:tc>
          <w:tcPr>
            <w:tcW w:w="60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Estructura de montaje de aluminio</w:t>
            </w:r>
          </w:p>
        </w:tc>
        <w:tc>
          <w:tcPr>
            <w:tcW w:w="30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150.000</w:t>
            </w:r>
          </w:p>
        </w:tc>
      </w:tr>
      <w:tr>
        <w:tc>
          <w:tcPr>
            <w:tcW w:w="6000" w:type="dxa"/>
            <w:vAlign w:val="center"/>
          </w:tcPr>
          <w:p>
            <w:pPr>
              <w:spacing w:after="40"/>
            </w:pPr>
            <w:r>
              <w:t xml:space="preserve">Cableado solar, conectores MC4 y canalización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t xml:space="preserve">120.000</w:t>
            </w:r>
          </w:p>
        </w:tc>
      </w:tr>
      <w:tr>
        <w:tc>
          <w:tcPr>
            <w:tcW w:w="60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Tablero + protecciones DC/AC</w:t>
            </w:r>
          </w:p>
        </w:tc>
        <w:tc>
          <w:tcPr>
            <w:tcW w:w="30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180.000</w:t>
            </w:r>
          </w:p>
        </w:tc>
      </w:tr>
      <w:tr>
        <w:tc>
          <w:tcPr>
            <w:tcW w:w="6000" w:type="dxa"/>
            <w:vAlign w:val="center"/>
          </w:tcPr>
          <w:p>
            <w:pPr>
              <w:spacing w:after="40"/>
            </w:pPr>
            <w:r>
              <w:t xml:space="preserve">Puesta a tierra (SPT)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t xml:space="preserve">120.000</w:t>
            </w:r>
          </w:p>
        </w:tc>
      </w:tr>
      <w:tr>
        <w:tc>
          <w:tcPr>
            <w:tcW w:w="60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Medidor bidireccional / adecuaciones</w:t>
            </w:r>
          </w:p>
        </w:tc>
        <w:tc>
          <w:tcPr>
            <w:tcW w:w="30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80.000</w:t>
            </w:r>
          </w:p>
        </w:tc>
      </w:tr>
      <w:tr>
        <w:tc>
          <w:tcPr>
            <w:tcW w:w="6000" w:type="dxa"/>
            <w:vAlign w:val="center"/>
          </w:tcPr>
          <w:p>
            <w:pPr>
              <w:spacing w:after="40"/>
            </w:pPr>
            <w:r>
              <w:t xml:space="preserve">Materiales menores y ferretería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t xml:space="preserve">80.000</w:t>
            </w:r>
          </w:p>
        </w:tc>
      </w:tr>
      <w:tr>
        <w:tc>
          <w:tcPr>
            <w:tcW w:w="60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Subtotal materiales y equipos</w:t>
            </w:r>
          </w:p>
        </w:tc>
        <w:tc>
          <w:tcPr>
            <w:tcW w:w="3000" w:type="dxa"/>
            <w:shd w:val="clear" w:color="auto" w:fill="F4F6F9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3.005.000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 xml:space="preserve">Referencias: </w:t>
      </w:r>
      <w:r>
        <w:t xml:space="preserve">kits híbridos con inversor 3.000 W desde aprox. $990.000 (Solares Center Chile); paneles 550-585 W aprox. $60.000-90.000 c/u; baterías LiFePO4 48V/100Ah aprox. $1,2-1,8 MM.</w:t>
      </w:r>
    </w:p>
    <w:p>
      <w:pPr>
        <w:spacing w:after="80"/>
      </w:pPr>
      <w:r>
        <w:rPr>
          <w:b/>
          <w:color w:val="1B3A6B"/>
          <w:sz w:val="30"/>
          <w:szCs w:val="30"/>
        </w:rPr>
        <w:t xml:space="preserve">7. Valorización de Recursos Humanos</w:t>
      </w:r>
    </w:p>
    <w:tbl>
      <w:tblPr>
        <w:tblW w:w="9000" w:type="dxa"/>
        <w:tblBorders>
          <w:top w:val="single" w:sz="4" w:color="D6DBE3"/>
          <w:left w:val="single" w:sz="4" w:color="D6DBE3"/>
          <w:bottom w:val="single" w:sz="4" w:color="D6DBE3"/>
          <w:right w:val="single" w:sz="4" w:color="D6DBE3"/>
          <w:insideH w:val="single" w:sz="4" w:color="D6DBE3"/>
          <w:insideV w:val="single" w:sz="4" w:color="D6DBE3"/>
        </w:tblBorders>
        <w:tblLook w:val="04A0"/>
      </w:tblPr>
      <w:tblGrid>
        <w:gridCol w:w="6000"/>
        <w:gridCol w:w="3000"/>
      </w:tblGrid>
      <w:tr>
        <w:tc>
          <w:tcPr>
            <w:tcW w:w="60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Ítem</w:t>
            </w:r>
          </w:p>
        </w:tc>
        <w:tc>
          <w:tcPr>
            <w:tcW w:w="30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Total CLP</w:t>
            </w:r>
          </w:p>
        </w:tc>
      </w:tr>
      <w:tr>
        <w:tc>
          <w:tcPr>
            <w:tcW w:w="6000" w:type="dxa"/>
            <w:vAlign w:val="center"/>
          </w:tcPr>
          <w:p>
            <w:pPr>
              <w:spacing w:after="40"/>
            </w:pPr>
            <w:r>
              <w:t xml:space="preserve">Proyecto eléctrico + tramitación TE-4/SEC (ing. autorizado)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t xml:space="preserve">350.000</w:t>
            </w:r>
          </w:p>
        </w:tc>
      </w:tr>
      <w:tr>
        <w:tc>
          <w:tcPr>
            <w:tcW w:w="60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Instalación (instalador SEC clase D + ayudante, 2 pers. x 3 días)</w:t>
            </w:r>
          </w:p>
        </w:tc>
        <w:tc>
          <w:tcPr>
            <w:tcW w:w="30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600.000</w:t>
            </w:r>
          </w:p>
        </w:tc>
      </w:tr>
      <w:tr>
        <w:tc>
          <w:tcPr>
            <w:tcW w:w="6000" w:type="dxa"/>
            <w:vAlign w:val="center"/>
          </w:tcPr>
          <w:p>
            <w:pPr>
              <w:spacing w:after="40"/>
            </w:pPr>
            <w:r>
              <w:t xml:space="preserve">Puesta en marcha, pruebas y capacitación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t xml:space="preserve">150.000</w:t>
            </w:r>
          </w:p>
        </w:tc>
      </w:tr>
      <w:tr>
        <w:tc>
          <w:tcPr>
            <w:tcW w:w="60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Subtotal recursos humanos</w:t>
            </w:r>
          </w:p>
        </w:tc>
        <w:tc>
          <w:tcPr>
            <w:tcW w:w="3000" w:type="dxa"/>
            <w:shd w:val="clear" w:color="auto" w:fill="F4F6F9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1.100.000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color w:val="2B5AA0"/>
          <w:sz w:val="24"/>
          <w:szCs w:val="24"/>
        </w:rPr>
        <w:t xml:space="preserve">7.1 Inversión total del proyecto (CAPEX)</w:t>
      </w:r>
    </w:p>
    <w:tbl>
      <w:tblPr>
        <w:tblW w:w="9000" w:type="dxa"/>
        <w:tblBorders>
          <w:top w:val="single" w:sz="4" w:color="D6DBE3"/>
          <w:left w:val="single" w:sz="4" w:color="D6DBE3"/>
          <w:bottom w:val="single" w:sz="4" w:color="D6DBE3"/>
          <w:right w:val="single" w:sz="4" w:color="D6DBE3"/>
          <w:insideH w:val="single" w:sz="4" w:color="D6DBE3"/>
          <w:insideV w:val="single" w:sz="4" w:color="D6DBE3"/>
        </w:tblBorders>
        <w:tblLook w:val="04A0"/>
      </w:tblPr>
      <w:tblGrid>
        <w:gridCol w:w="6000"/>
        <w:gridCol w:w="3000"/>
      </w:tblGrid>
      <w:tr>
        <w:tc>
          <w:tcPr>
            <w:tcW w:w="60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Concepto</w:t>
            </w:r>
          </w:p>
        </w:tc>
        <w:tc>
          <w:tcPr>
            <w:tcW w:w="30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CLP</w:t>
            </w:r>
          </w:p>
        </w:tc>
      </w:tr>
      <w:tr>
        <w:tc>
          <w:tcPr>
            <w:tcW w:w="6000" w:type="dxa"/>
            <w:vAlign w:val="center"/>
          </w:tcPr>
          <w:p>
            <w:pPr>
              <w:spacing w:after="40"/>
            </w:pPr>
            <w:r>
              <w:t xml:space="preserve">Materiales y equipos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t xml:space="preserve">3.005.000</w:t>
            </w:r>
          </w:p>
        </w:tc>
      </w:tr>
      <w:tr>
        <w:tc>
          <w:tcPr>
            <w:tcW w:w="60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Recursos humanos</w:t>
            </w:r>
          </w:p>
        </w:tc>
        <w:tc>
          <w:tcPr>
            <w:tcW w:w="30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1.100.000</w:t>
            </w:r>
          </w:p>
        </w:tc>
      </w:tr>
      <w:tr>
        <w:tc>
          <w:tcPr>
            <w:tcW w:w="6000" w:type="dxa"/>
            <w:vAlign w:val="center"/>
          </w:tcPr>
          <w:p>
            <w:pPr>
              <w:spacing w:after="40"/>
            </w:pPr>
            <w:r>
              <w:t xml:space="preserve">Contingencia (5 %)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t xml:space="preserve">205.250</w:t>
            </w:r>
          </w:p>
        </w:tc>
      </w:tr>
      <w:tr>
        <w:tc>
          <w:tcPr>
            <w:tcW w:w="60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INVERSIÓN TOTAL</w:t>
            </w:r>
          </w:p>
        </w:tc>
        <w:tc>
          <w:tcPr>
            <w:tcW w:w="3000" w:type="dxa"/>
            <w:shd w:val="clear" w:color="auto" w:fill="F4F6F9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4.310.250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1B3A6B"/>
          <w:sz w:val="30"/>
          <w:szCs w:val="30"/>
        </w:rPr>
        <w:t xml:space="preserve">8. Indicadores de Evaluación (VAN, TIR, PRI)</w:t>
      </w:r>
    </w:p>
    <w:p>
      <w:pPr>
        <w:spacing w:after="60"/>
      </w:pPr>
      <w:r>
        <w:rPr>
          <w:b/>
          <w:color w:val="2B5AA0"/>
          <w:sz w:val="24"/>
          <w:szCs w:val="24"/>
        </w:rPr>
        <w:t xml:space="preserve">8.1 Supuestos</w:t>
      </w:r>
    </w:p>
    <w:tbl>
      <w:tblPr>
        <w:tblW w:w="9000" w:type="dxa"/>
        <w:tblBorders>
          <w:top w:val="single" w:sz="4" w:color="D6DBE3"/>
          <w:left w:val="single" w:sz="4" w:color="D6DBE3"/>
          <w:bottom w:val="single" w:sz="4" w:color="D6DBE3"/>
          <w:right w:val="single" w:sz="4" w:color="D6DBE3"/>
          <w:insideH w:val="single" w:sz="4" w:color="D6DBE3"/>
          <w:insideV w:val="single" w:sz="4" w:color="D6DBE3"/>
        </w:tblBorders>
        <w:tblLook w:val="04A0"/>
      </w:tblPr>
      <w:tblGrid>
        <w:gridCol w:w="5400"/>
        <w:gridCol w:w="3600"/>
      </w:tblGrid>
      <w:tr>
        <w:tc>
          <w:tcPr>
            <w:tcW w:w="54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Parámetro</w:t>
            </w:r>
          </w:p>
        </w:tc>
        <w:tc>
          <w:tcPr>
            <w:tcW w:w="36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Valor</w:t>
            </w:r>
          </w:p>
        </w:tc>
      </w:tr>
      <w:tr>
        <w:tc>
          <w:tcPr>
            <w:tcW w:w="5400" w:type="dxa"/>
            <w:vAlign w:val="center"/>
          </w:tcPr>
          <w:p>
            <w:pPr>
              <w:spacing w:after="40"/>
            </w:pPr>
            <w:r>
              <w:t xml:space="preserve">Horizonte de evaluación</w:t>
            </w:r>
          </w:p>
        </w:tc>
        <w:tc>
          <w:tcPr>
            <w:tcW w:w="3600" w:type="dxa"/>
            <w:vAlign w:val="center"/>
          </w:tcPr>
          <w:p>
            <w:pPr>
              <w:spacing w:after="40"/>
            </w:pPr>
            <w:r>
              <w:t xml:space="preserve">20 años</w:t>
            </w:r>
          </w:p>
        </w:tc>
      </w:tr>
      <w:tr>
        <w:tc>
          <w:tcPr>
            <w:tcW w:w="54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Tasa de descuento</w:t>
            </w:r>
          </w:p>
        </w:tc>
        <w:tc>
          <w:tcPr>
            <w:tcW w:w="36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8 %</w:t>
            </w:r>
          </w:p>
        </w:tc>
      </w:tr>
      <w:tr>
        <w:tc>
          <w:tcPr>
            <w:tcW w:w="5400" w:type="dxa"/>
            <w:vAlign w:val="center"/>
          </w:tcPr>
          <w:p>
            <w:pPr>
              <w:spacing w:after="40"/>
            </w:pPr>
            <w:r>
              <w:t xml:space="preserve">Precio energía evitada (autoconsumo)</w:t>
            </w:r>
          </w:p>
        </w:tc>
        <w:tc>
          <w:tcPr>
            <w:tcW w:w="3600" w:type="dxa"/>
            <w:vAlign w:val="center"/>
          </w:tcPr>
          <w:p>
            <w:pPr>
              <w:spacing w:after="40"/>
            </w:pPr>
            <w:r>
              <w:t xml:space="preserve">$230 /kWh</w:t>
            </w:r>
          </w:p>
        </w:tc>
      </w:tr>
      <w:tr>
        <w:tc>
          <w:tcPr>
            <w:tcW w:w="54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Precio de inyección (net billing)</w:t>
            </w:r>
          </w:p>
        </w:tc>
        <w:tc>
          <w:tcPr>
            <w:tcW w:w="36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$80 /kWh</w:t>
            </w:r>
          </w:p>
        </w:tc>
      </w:tr>
      <w:tr>
        <w:tc>
          <w:tcPr>
            <w:tcW w:w="5400" w:type="dxa"/>
            <w:vAlign w:val="center"/>
          </w:tcPr>
          <w:p>
            <w:pPr>
              <w:spacing w:after="40"/>
            </w:pPr>
            <w:r>
              <w:t xml:space="preserve">Escalación tarifaria real</w:t>
            </w:r>
          </w:p>
        </w:tc>
        <w:tc>
          <w:tcPr>
            <w:tcW w:w="3600" w:type="dxa"/>
            <w:vAlign w:val="center"/>
          </w:tcPr>
          <w:p>
            <w:pPr>
              <w:spacing w:after="40"/>
            </w:pPr>
            <w:r>
              <w:t xml:space="preserve">4 % anual</w:t>
            </w:r>
          </w:p>
        </w:tc>
      </w:tr>
      <w:tr>
        <w:tc>
          <w:tcPr>
            <w:tcW w:w="54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Degradación FV</w:t>
            </w:r>
          </w:p>
        </w:tc>
        <w:tc>
          <w:tcPr>
            <w:tcW w:w="36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0,7 % anual</w:t>
            </w:r>
          </w:p>
        </w:tc>
      </w:tr>
      <w:tr>
        <w:tc>
          <w:tcPr>
            <w:tcW w:w="5400" w:type="dxa"/>
            <w:vAlign w:val="center"/>
          </w:tcPr>
          <w:p>
            <w:pPr>
              <w:spacing w:after="40"/>
            </w:pPr>
            <w:r>
              <w:t xml:space="preserve">O&amp;M (año 1)</w:t>
            </w:r>
          </w:p>
        </w:tc>
        <w:tc>
          <w:tcPr>
            <w:tcW w:w="3600" w:type="dxa"/>
            <w:vAlign w:val="center"/>
          </w:tcPr>
          <w:p>
            <w:pPr>
              <w:spacing w:after="40"/>
            </w:pPr>
            <w:r>
              <w:t xml:space="preserve">$50.000, +3 % anual</w:t>
            </w:r>
          </w:p>
        </w:tc>
      </w:tr>
      <w:tr>
        <w:tc>
          <w:tcPr>
            <w:tcW w:w="54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Reemplazo de batería (año 10)</w:t>
            </w:r>
          </w:p>
        </w:tc>
        <w:tc>
          <w:tcPr>
            <w:tcW w:w="36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$1.200.000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color w:val="2B5AA0"/>
          <w:sz w:val="24"/>
          <w:szCs w:val="24"/>
        </w:rPr>
        <w:t xml:space="preserve">8.2 Resultados - Escenario base (FV + batería)</w:t>
      </w:r>
    </w:p>
    <w:tbl>
      <w:tblPr>
        <w:tblW w:w="9000" w:type="dxa"/>
        <w:tblBorders>
          <w:top w:val="single" w:sz="4" w:color="D6DBE3"/>
          <w:left w:val="single" w:sz="4" w:color="D6DBE3"/>
          <w:bottom w:val="single" w:sz="4" w:color="D6DBE3"/>
          <w:right w:val="single" w:sz="4" w:color="D6DBE3"/>
          <w:insideH w:val="single" w:sz="4" w:color="D6DBE3"/>
          <w:insideV w:val="single" w:sz="4" w:color="D6DBE3"/>
        </w:tblBorders>
        <w:tblLook w:val="04A0"/>
      </w:tblPr>
      <w:tblGrid>
        <w:gridCol w:w="2600"/>
        <w:gridCol w:w="2200"/>
        <w:gridCol w:w="2000"/>
        <w:gridCol w:w="2200"/>
      </w:tblGrid>
      <w:tr>
        <w:tc>
          <w:tcPr>
            <w:tcW w:w="26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22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Resultado</w:t>
            </w:r>
          </w:p>
        </w:tc>
        <w:tc>
          <w:tcPr>
            <w:tcW w:w="20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Criterio</w:t>
            </w:r>
          </w:p>
        </w:tc>
        <w:tc>
          <w:tcPr>
            <w:tcW w:w="22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Evaluación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40"/>
            </w:pPr>
            <w:r>
              <w:t xml:space="preserve">Beneficio neto año 1</w:t>
            </w:r>
          </w:p>
        </w:tc>
        <w:tc>
          <w:tcPr>
            <w:tcW w:w="2200" w:type="dxa"/>
            <w:vAlign w:val="center"/>
          </w:tcPr>
          <w:p>
            <w:pPr>
              <w:spacing w:after="40"/>
            </w:pPr>
            <w:r>
              <w:t xml:space="preserve">$225.485</w:t>
            </w:r>
          </w:p>
        </w:tc>
        <w:tc>
          <w:tcPr>
            <w:tcW w:w="2000" w:type="dxa"/>
            <w:vAlign w:val="center"/>
          </w:tcPr>
          <w:p>
            <w:pPr>
              <w:spacing w:after="40"/>
            </w:pPr>
            <w:r>
              <w:t xml:space="preserve">-</w:t>
            </w:r>
          </w:p>
        </w:tc>
        <w:tc>
          <w:tcPr>
            <w:tcW w:w="2200" w:type="dxa"/>
            <w:vAlign w:val="center"/>
          </w:tcPr>
          <w:p>
            <w:pPr>
              <w:spacing w:after="40"/>
            </w:pPr>
            <w:r>
              <w:t xml:space="preserve">-</w:t>
            </w:r>
          </w:p>
        </w:tc>
      </w:tr>
      <w:tr>
        <w:tc>
          <w:tcPr>
            <w:tcW w:w="26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VAN (8 %)</w:t>
            </w:r>
          </w:p>
        </w:tc>
        <w:tc>
          <w:tcPr>
            <w:tcW w:w="2200" w:type="dxa"/>
            <w:shd w:val="clear" w:color="auto" w:fill="F4F6F9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-$2.032.020</w:t>
            </w:r>
          </w:p>
        </w:tc>
        <w:tc>
          <w:tcPr>
            <w:tcW w:w="20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VAN &gt; 0</w:t>
            </w:r>
          </w:p>
        </w:tc>
        <w:tc>
          <w:tcPr>
            <w:tcW w:w="22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No conviene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40"/>
            </w:pPr>
            <w:r>
              <w:t xml:space="preserve">TIR</w:t>
            </w:r>
          </w:p>
        </w:tc>
        <w:tc>
          <w:tcPr>
            <w:tcW w:w="2200" w:type="dxa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1,4 %</w:t>
            </w:r>
          </w:p>
        </w:tc>
        <w:tc>
          <w:tcPr>
            <w:tcW w:w="2000" w:type="dxa"/>
            <w:vAlign w:val="center"/>
          </w:tcPr>
          <w:p>
            <w:pPr>
              <w:spacing w:after="40"/>
            </w:pPr>
            <w:r>
              <w:t xml:space="preserve">TIR &gt; 8 %</w:t>
            </w:r>
          </w:p>
        </w:tc>
        <w:tc>
          <w:tcPr>
            <w:tcW w:w="2200" w:type="dxa"/>
            <w:vAlign w:val="center"/>
          </w:tcPr>
          <w:p>
            <w:pPr>
              <w:spacing w:after="40"/>
            </w:pPr>
            <w:r>
              <w:t xml:space="preserve">Inferior a la tasa</w:t>
            </w:r>
          </w:p>
        </w:tc>
      </w:tr>
      <w:tr>
        <w:tc>
          <w:tcPr>
            <w:tcW w:w="26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PRI simple</w:t>
            </w:r>
          </w:p>
        </w:tc>
        <w:tc>
          <w:tcPr>
            <w:tcW w:w="2200" w:type="dxa"/>
            <w:shd w:val="clear" w:color="auto" w:fill="F4F6F9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18,2 años</w:t>
            </w:r>
          </w:p>
        </w:tc>
        <w:tc>
          <w:tcPr>
            <w:tcW w:w="20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&lt; vida útil</w:t>
            </w:r>
          </w:p>
        </w:tc>
        <w:tc>
          <w:tcPr>
            <w:tcW w:w="22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Muy largo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40"/>
            </w:pPr>
            <w:r>
              <w:t xml:space="preserve">PRI descontado</w:t>
            </w:r>
          </w:p>
        </w:tc>
        <w:tc>
          <w:tcPr>
            <w:tcW w:w="2200" w:type="dxa"/>
            <w:vAlign w:val="center"/>
          </w:tcPr>
          <w:p>
            <w:pPr>
              <w:spacing w:after="40"/>
            </w:pPr>
            <w:r>
              <w:t xml:space="preserve">&gt; 20 años</w:t>
            </w:r>
          </w:p>
        </w:tc>
        <w:tc>
          <w:tcPr>
            <w:tcW w:w="2000" w:type="dxa"/>
            <w:vAlign w:val="center"/>
          </w:tcPr>
          <w:p>
            <w:pPr>
              <w:spacing w:after="40"/>
            </w:pPr>
            <w:r>
              <w:t xml:space="preserve">-</w:t>
            </w:r>
          </w:p>
        </w:tc>
        <w:tc>
          <w:tcPr>
            <w:tcW w:w="2200" w:type="dxa"/>
            <w:vAlign w:val="center"/>
          </w:tcPr>
          <w:p>
            <w:pPr>
              <w:spacing w:after="40"/>
            </w:pPr>
            <w:r>
              <w:t xml:space="preserve">No se recupera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color w:val="2B5AA0"/>
          <w:sz w:val="24"/>
          <w:szCs w:val="24"/>
        </w:rPr>
        <w:t xml:space="preserve">8.3 Resultados - Escenario B de referencia (FV sin batería)</w:t>
      </w:r>
    </w:p>
    <w:tbl>
      <w:tblPr>
        <w:tblW w:w="9000" w:type="dxa"/>
        <w:tblBorders>
          <w:top w:val="single" w:sz="4" w:color="D6DBE3"/>
          <w:left w:val="single" w:sz="4" w:color="D6DBE3"/>
          <w:bottom w:val="single" w:sz="4" w:color="D6DBE3"/>
          <w:right w:val="single" w:sz="4" w:color="D6DBE3"/>
          <w:insideH w:val="single" w:sz="4" w:color="D6DBE3"/>
          <w:insideV w:val="single" w:sz="4" w:color="D6DBE3"/>
        </w:tblBorders>
        <w:tblLook w:val="04A0"/>
      </w:tblPr>
      <w:tblGrid>
        <w:gridCol w:w="5400"/>
        <w:gridCol w:w="3600"/>
      </w:tblGrid>
      <w:tr>
        <w:tc>
          <w:tcPr>
            <w:tcW w:w="54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3600" w:type="dxa"/>
            <w:shd w:val="clear" w:color="auto" w:fill="1B3A6B"/>
            <w:vAlign w:val="center"/>
          </w:tcPr>
          <w:p>
            <w:pPr>
              <w:spacing w:after="40"/>
            </w:pPr>
            <w:r>
              <w:rPr>
                <w:b/>
                <w:color w:val="FFFFFF"/>
              </w:rPr>
              <w:t xml:space="preserve">Resultado</w:t>
            </w:r>
          </w:p>
        </w:tc>
      </w:tr>
      <w:tr>
        <w:tc>
          <w:tcPr>
            <w:tcW w:w="5400" w:type="dxa"/>
            <w:vAlign w:val="center"/>
          </w:tcPr>
          <w:p>
            <w:pPr>
              <w:spacing w:after="40"/>
            </w:pPr>
            <w:r>
              <w:t xml:space="preserve">CAPEX</w:t>
            </w:r>
          </w:p>
        </w:tc>
        <w:tc>
          <w:tcPr>
            <w:tcW w:w="3600" w:type="dxa"/>
            <w:vAlign w:val="center"/>
          </w:tcPr>
          <w:p>
            <w:pPr>
              <w:spacing w:after="40"/>
            </w:pPr>
            <w:r>
              <w:t xml:space="preserve">$2.710.250</w:t>
            </w:r>
          </w:p>
        </w:tc>
      </w:tr>
      <w:tr>
        <w:tc>
          <w:tcPr>
            <w:tcW w:w="54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VAN (8 %)</w:t>
            </w:r>
          </w:p>
        </w:tc>
        <w:tc>
          <w:tcPr>
            <w:tcW w:w="36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-$823.699</w:t>
            </w:r>
          </w:p>
        </w:tc>
      </w:tr>
      <w:tr>
        <w:tc>
          <w:tcPr>
            <w:tcW w:w="5400" w:type="dxa"/>
            <w:vAlign w:val="center"/>
          </w:tcPr>
          <w:p>
            <w:pPr>
              <w:spacing w:after="40"/>
            </w:pPr>
            <w:r>
              <w:t xml:space="preserve">TIR</w:t>
            </w:r>
          </w:p>
        </w:tc>
        <w:tc>
          <w:tcPr>
            <w:tcW w:w="3600" w:type="dxa"/>
            <w:vAlign w:val="center"/>
          </w:tcPr>
          <w:p>
            <w:pPr>
              <w:spacing w:after="40"/>
            </w:pPr>
            <w:r>
              <w:t xml:space="preserve">4,0 %</w:t>
            </w:r>
          </w:p>
        </w:tc>
      </w:tr>
      <w:tr>
        <w:tc>
          <w:tcPr>
            <w:tcW w:w="54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PRI simple</w:t>
            </w:r>
          </w:p>
        </w:tc>
        <w:tc>
          <w:tcPr>
            <w:tcW w:w="3600" w:type="dxa"/>
            <w:shd w:val="clear" w:color="auto" w:fill="F4F6F9"/>
            <w:vAlign w:val="center"/>
          </w:tcPr>
          <w:p>
            <w:pPr>
              <w:spacing w:after="40"/>
            </w:pPr>
            <w:r>
              <w:t xml:space="preserve">14,4 años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color w:val="2B5AA0"/>
          <w:sz w:val="24"/>
          <w:szCs w:val="24"/>
        </w:rPr>
        <w:t xml:space="preserve">8.4 Interpretación</w:t>
      </w:r>
    </w:p>
    <w:p>
      <w:pPr>
        <w:numPr>
          <w:ilvl w:val="0"/>
          <w:numId w:val="1"/>
        </w:numPr>
        <w:spacing w:after="60"/>
      </w:pPr>
      <w:r>
        <w:t xml:space="preserve">El VAN negativo en ambos escenarios indica que, con el consumo actual, el proyecto no genera valor económico al 8 %.</w:t>
      </w:r>
    </w:p>
    <w:p>
      <w:pPr>
        <w:numPr>
          <w:ilvl w:val="0"/>
          <w:numId w:val="1"/>
        </w:numPr>
        <w:spacing w:after="60"/>
      </w:pPr>
      <w:r>
        <w:t xml:space="preserve">La batería agrega aprox. $1,6 MM (compra + reemplazo) que no se recupera: destruye aprox. $1,2 MM de VAN adicional.</w:t>
      </w:r>
    </w:p>
    <w:p>
      <w:pPr>
        <w:numPr>
          <w:ilvl w:val="0"/>
          <w:numId w:val="1"/>
        </w:numPr>
        <w:spacing w:after="60"/>
      </w:pPr>
      <w:r>
        <w:t xml:space="preserve">El problema es de escala: el consumo es demasiado bajo para amortizar el costo fijo de un sistema con almacenamiento.</w:t>
      </w:r>
    </w:p>
    <w:p>
      <w:pPr>
        <w:spacing w:after="80"/>
      </w:pPr>
      <w:r>
        <w:rPr>
          <w:b/>
          <w:color w:val="1B3A6B"/>
          <w:sz w:val="30"/>
          <w:szCs w:val="30"/>
        </w:rPr>
        <w:t xml:space="preserve">9. Conclusiones y Recomendaciones</w:t>
      </w:r>
    </w:p>
    <w:p>
      <w:pPr>
        <w:numPr>
          <w:ilvl w:val="0"/>
          <w:numId w:val="1"/>
        </w:numPr>
        <w:spacing w:after="60"/>
      </w:pPr>
      <w:r>
        <w:t xml:space="preserve">Recurso solar: viable (3,3 kWh/m²/día). Proyecto técnicamente factible y conforme a la normativa.</w:t>
      </w:r>
    </w:p>
    <w:p>
      <w:pPr>
        <w:numPr>
          <w:ilvl w:val="0"/>
          <w:numId w:val="1"/>
        </w:numPr>
        <w:spacing w:after="60"/>
      </w:pPr>
      <w:r>
        <w:t xml:space="preserve">Económicamente NO es rentable para el consumo actual: VAN negativo, TIR &lt; tasa de descuento, PRI &gt; 18 años.</w:t>
      </w:r>
    </w:p>
    <w:p>
      <w:pPr>
        <w:numPr>
          <w:ilvl w:val="0"/>
          <w:numId w:val="1"/>
        </w:numPr>
        <w:spacing w:after="60"/>
      </w:pPr>
      <w:r>
        <w:t xml:space="preserve">La batería es una inversión de respaldo/resiliencia, no de retorno. Si el objetivo es puramente económico, se recomienda omitirla.</w:t>
      </w:r>
    </w:p>
    <w:p>
      <w:pPr>
        <w:numPr>
          <w:ilvl w:val="0"/>
          <w:numId w:val="1"/>
        </w:numPr>
        <w:spacing w:after="60"/>
      </w:pPr>
      <w:r>
        <w:t xml:space="preserve">Para mejorar la viabilidad: evaluar si aumenta el consumo (calefacción eléctrica, VE); priorizar eficiencia energética; dimensionar la batería solo a cargas críticas; cotizar en firme con 3 proveedores certificados SEC.</w:t>
      </w:r>
    </w:p>
    <w:p>
      <w:pPr>
        <w:spacing w:after="120"/>
      </w:pPr>
      <w:r>
        <w:rPr>
          <w:color w:val="7A7A7A"/>
          <w:sz w:val="16"/>
          <w:szCs w:val="16"/>
        </w:rPr>
        <w:t xml:space="preserve">Documento a nivel de prefactibilidad. Los valores de equipos y mano de obra son referenciales de mercado y deben confirmarse con cotizaciones formales. El recurso solar debe validarse con el Explorador Solar del Ministerio de Energía para las coordenadas exactas y con visita técnica de sombreado.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54" w:hanging="284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es-CL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