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Descritivo de Casos de Uso – Sistema Cursos Online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 1: Realizar Cadastro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Cliente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Permite que um cliente se cadastre no sistema fornecendo informações pessoais, incluindo múltiplos endereços.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não possui cadastro no sistema.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está acessível e funcional (RNF08). </w:t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acessa a interface de cadastro.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insere nome, e-mail, telefones, CPF ou CNPJ e múltiplos endereços (RF01).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valida os dados inseridos (ex.: formato de e-mail, CPF/CNPJ válido).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são criptografados (RNF03) e armazenados no sistema.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uma mensagem de confirmação de cadastro.</w:t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rtl w:val="0"/>
        </w:rPr>
        <w:t xml:space="preserve">: Dados inválidos (ex.: e-mail inválido, CPF/CNPJ inválido).</w:t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de erro específica e solicita correção.</w:t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Retorna ao passo 2 do fluxo principal.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rtl w:val="0"/>
        </w:rPr>
        <w:t xml:space="preserve">: Sistema indisponível (RNF08 violado).</w:t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de erro e sugere tentar novamente. </w:t>
      </w:r>
    </w:p>
    <w:p w:rsidR="00000000" w:rsidDel="00000000" w:rsidP="00000000" w:rsidRDefault="00000000" w:rsidRPr="00000000" w14:paraId="0000001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está cadastrado e pode acessar outras funcionalidades (RF02, RF05).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de resposta é inferior a 2 segundos (RNF02).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 2: Atualizar Dados Cadastrais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Cliente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Permite que o cliente atualize suas informações pessoais, incluindo e-mail, telefones e endereços.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está autenticado no sistema (RNF04).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possui cadastro ativo. </w:t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acessa a área de gerenciamento de perfil.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altera nome, e-mail, telefones ou endereços (RF02).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valida os novos dados.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atualizados são criptografados (RNF03) e salvos.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de confirmação.</w:t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rtl w:val="0"/>
        </w:rPr>
        <w:t xml:space="preserve">: Dados inválidos.</w:t>
      </w:r>
    </w:p>
    <w:p w:rsidR="00000000" w:rsidDel="00000000" w:rsidP="00000000" w:rsidRDefault="00000000" w:rsidRPr="00000000" w14:paraId="00000024">
      <w:pPr>
        <w:numPr>
          <w:ilvl w:val="1"/>
          <w:numId w:val="17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de erro e solicita correção.</w:t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Retorna ao passo 2.</w:t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do cliente são atualizados no sistema.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de resposta é inferior a 2 segundos (RNF02).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 3: Cadastrar Produto (Curso)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 Administrador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Permite que o administrador cadastre um novo curso no sistema.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está autenticado (RNF04).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está acessível (RNF08).</w:t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acessa a interface de cadastro de produtos.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insere nome, preço e seleciona categorias do curso (RF03).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valida os dados (ex.: preço positivo, categorias válidas).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curso é salvo no sistema.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de confirmação. </w:t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rtl w:val="0"/>
        </w:rPr>
        <w:t xml:space="preserve">: Dados inválidos.</w:t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de erro e solicita correção.</w:t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Retorna ao passo 2.</w:t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curso está cadastrado e disponível para pedidos (RF05, RF15).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de resposta é inferior a 2 segundos (RNF02).</w:t>
      </w:r>
    </w:p>
    <w:p w:rsidR="00000000" w:rsidDel="00000000" w:rsidP="00000000" w:rsidRDefault="00000000" w:rsidRPr="00000000" w14:paraId="0000004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 4: Gerenciar Categorias de Produtos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 Administrador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Permite que o administrador cadastre ou gerencie categorias de cursos.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está autenticado (RNF04).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está acessível (RNF08). </w:t>
      </w:r>
    </w:p>
    <w:p w:rsidR="00000000" w:rsidDel="00000000" w:rsidP="00000000" w:rsidRDefault="00000000" w:rsidRPr="00000000" w14:paraId="0000004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acessa a interface de gerenciamento de categorias.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cadastra uma nova categoria ou edita/exclui uma existente (RF04).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valida os dados da categoria.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alterações são salvas.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de confirmação. </w:t>
      </w:r>
    </w:p>
    <w:p w:rsidR="00000000" w:rsidDel="00000000" w:rsidP="00000000" w:rsidRDefault="00000000" w:rsidRPr="00000000" w14:paraId="0000004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rtl w:val="0"/>
        </w:rPr>
        <w:t xml:space="preserve">: Dados inválidos.</w:t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de erro e solicita correção.</w:t>
      </w:r>
    </w:p>
    <w:p w:rsidR="00000000" w:rsidDel="00000000" w:rsidP="00000000" w:rsidRDefault="00000000" w:rsidRPr="00000000" w14:paraId="00000051">
      <w:pPr>
        <w:numPr>
          <w:ilvl w:val="1"/>
          <w:numId w:val="2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Retorna ao passo 2.</w:t>
      </w:r>
    </w:p>
    <w:p w:rsidR="00000000" w:rsidDel="00000000" w:rsidP="00000000" w:rsidRDefault="00000000" w:rsidRPr="00000000" w14:paraId="0000005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categorias são atualizadas e disponíveis para associação com cursos (RF03, RF15).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de resposta é inferior a 2 segundos (RNF02).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 5: Realizar Pedido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Cliente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Permite que o cliente realize um pedido com um ou mais cursos, incluindo descontos e endereço de entrega.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está autenticado (RNF04).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possui cadastro ativo com pelo menos um endereço (RF01).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Existem cursos cadastrados (RF03). </w:t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2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acessa a interface de pedidos.</w:t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seleciona um ou mais cursos e define a quantidade para cada um (RF05, RF06).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define um percentual de desconto para cada curso, se aplicável (RF06).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seleciona um endereço de entrega (e-mail) (RF07).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registra a data e hora do pedido (RF08).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confirma o pedido.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salva o pedido e exibe mensagem de confirmação. </w:t>
      </w:r>
    </w:p>
    <w:p w:rsidR="00000000" w:rsidDel="00000000" w:rsidP="00000000" w:rsidRDefault="00000000" w:rsidRPr="00000000" w14:paraId="0000006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rtl w:val="0"/>
        </w:rPr>
        <w:t xml:space="preserve">: Endereço de entrega não selecionado.</w:t>
      </w:r>
    </w:p>
    <w:p w:rsidR="00000000" w:rsidDel="00000000" w:rsidP="00000000" w:rsidRDefault="00000000" w:rsidRPr="00000000" w14:paraId="00000065">
      <w:pPr>
        <w:numPr>
          <w:ilvl w:val="1"/>
          <w:numId w:val="25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solicita que o cliente selecione um endereço.</w:t>
      </w:r>
    </w:p>
    <w:p w:rsidR="00000000" w:rsidDel="00000000" w:rsidP="00000000" w:rsidRDefault="00000000" w:rsidRPr="00000000" w14:paraId="00000066">
      <w:pPr>
        <w:numPr>
          <w:ilvl w:val="1"/>
          <w:numId w:val="25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Retorna ao passo 4.</w:t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rtl w:val="0"/>
        </w:rPr>
        <w:t xml:space="preserve">: Quantidade inválida ou desconto inválido.</w:t>
      </w:r>
    </w:p>
    <w:p w:rsidR="00000000" w:rsidDel="00000000" w:rsidP="00000000" w:rsidRDefault="00000000" w:rsidRPr="00000000" w14:paraId="00000068">
      <w:pPr>
        <w:numPr>
          <w:ilvl w:val="1"/>
          <w:numId w:val="25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de erro e solicita correção.</w:t>
      </w:r>
    </w:p>
    <w:p w:rsidR="00000000" w:rsidDel="00000000" w:rsidP="00000000" w:rsidRDefault="00000000" w:rsidRPr="00000000" w14:paraId="00000069">
      <w:pPr>
        <w:numPr>
          <w:ilvl w:val="1"/>
          <w:numId w:val="25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Retorna ao passo 2. </w:t>
      </w:r>
    </w:p>
    <w:p w:rsidR="00000000" w:rsidDel="00000000" w:rsidP="00000000" w:rsidRDefault="00000000" w:rsidRPr="00000000" w14:paraId="0000006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pedido é registrado com itens, quantidades, descontos, endereço de entrega, data e hora.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de resposta é inferior a 2 segundos (RNF02).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suporta múltiplos usuários simultaneamente (RNF01). 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 6: Realizar Pagamento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Cliente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Permite que o cliente escolha a forma de pagamento para um pedido e registre os detalhes.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está autenticado (RNF04).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possui um pedido registrado (RF05). </w:t>
      </w:r>
    </w:p>
    <w:p w:rsidR="00000000" w:rsidDel="00000000" w:rsidP="00000000" w:rsidRDefault="00000000" w:rsidRPr="00000000" w14:paraId="0000007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acessa a interface de pagamento do pedido.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escolhe entre boleto ou cartão de crédito (RF09).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 boleto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27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gera o boleto e registra a data de vencimento (RF10).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 cartão de crédito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27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insere o número de parcelas (RF11).</w:t>
      </w:r>
    </w:p>
    <w:p w:rsidR="00000000" w:rsidDel="00000000" w:rsidP="00000000" w:rsidRDefault="00000000" w:rsidRPr="00000000" w14:paraId="0000007A">
      <w:pPr>
        <w:numPr>
          <w:ilvl w:val="1"/>
          <w:numId w:val="27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processa o pagamento sem armazenar o número do cartão (RNF05).</w:t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define o estado do pagamento como "pendente" (RF12).</w:t>
      </w:r>
    </w:p>
    <w:p w:rsidR="00000000" w:rsidDel="00000000" w:rsidP="00000000" w:rsidRDefault="00000000" w:rsidRPr="00000000" w14:paraId="0000007C">
      <w:pPr>
        <w:numPr>
          <w:ilvl w:val="0"/>
          <w:numId w:val="2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de confirmação. </w:t>
      </w:r>
    </w:p>
    <w:p w:rsidR="00000000" w:rsidDel="00000000" w:rsidP="00000000" w:rsidRDefault="00000000" w:rsidRPr="00000000" w14:paraId="0000007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rtl w:val="0"/>
        </w:rPr>
        <w:t xml:space="preserve">: Dados de pagamento inválidos (ex.: número de parcelas inválido).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de erro e solicita correção.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Retorna ao passo 2. </w:t>
      </w:r>
    </w:p>
    <w:p w:rsidR="00000000" w:rsidDel="00000000" w:rsidP="00000000" w:rsidRDefault="00000000" w:rsidRPr="00000000" w14:paraId="0000008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pagamento é registrado com estado, data de vencimento (se boleto) e número de parcelas (se cartão).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de resposta é inferior a 2 segundos (RNF02).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de pagamento são criptografados (RNF03).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 7: Consultar Estado do Pagamento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Cliente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Permite que o cliente consulte o estado do pagamento de um pedido.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está autenticado (RNF04).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pedido possui um pagamento registrado (RF12). </w:t>
      </w:r>
    </w:p>
    <w:p w:rsidR="00000000" w:rsidDel="00000000" w:rsidP="00000000" w:rsidRDefault="00000000" w:rsidRPr="00000000" w14:paraId="0000008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acessa a interface de consulta de pedidos.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seleciona o pedido desejado.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o estado do pagamento (pendente, quitado ou cancelado) (RF13). </w:t>
      </w:r>
    </w:p>
    <w:p w:rsidR="00000000" w:rsidDel="00000000" w:rsidP="00000000" w:rsidRDefault="00000000" w:rsidRPr="00000000" w14:paraId="0000008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rtl w:val="0"/>
        </w:rPr>
        <w:t xml:space="preserve">: Pedido sem pagamento registrado.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informando que não há pagamento associado.</w:t>
      </w:r>
    </w:p>
    <w:p w:rsidR="00000000" w:rsidDel="00000000" w:rsidP="00000000" w:rsidRDefault="00000000" w:rsidRPr="00000000" w14:paraId="0000009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visualiza o estado do pagamento.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de resposta é inferior a 2 segundos (RNF02). 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 8: Consultar Pedidos do Cliente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Cliente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Permite que o cliente consulte todos os seus pedidos.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está autenticado (RNF04).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possui pedidos registrados (RF05).</w:t>
      </w:r>
    </w:p>
    <w:p w:rsidR="00000000" w:rsidDel="00000000" w:rsidP="00000000" w:rsidRDefault="00000000" w:rsidRPr="00000000" w14:paraId="0000009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acessa a interface de consulta de pedidos.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a lista de pedidos do cliente, incluindo detalhes como itens, quantidades, descontos, forma de pagamento e endereço de entrega (RF14, RF16). </w:t>
      </w:r>
    </w:p>
    <w:p w:rsidR="00000000" w:rsidDel="00000000" w:rsidP="00000000" w:rsidRDefault="00000000" w:rsidRPr="00000000" w14:paraId="000000A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Fluxos Alternativos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Cliente sem pedidos registrados.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informando que não há pedidos.</w:t>
      </w:r>
    </w:p>
    <w:p w:rsidR="00000000" w:rsidDel="00000000" w:rsidP="00000000" w:rsidRDefault="00000000" w:rsidRPr="00000000" w14:paraId="000000A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visualiza seus pedidos e detalhes.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de resposta é inferior a 2 segundos (RNF02). </w:t>
      </w:r>
    </w:p>
    <w:p w:rsidR="00000000" w:rsidDel="00000000" w:rsidP="00000000" w:rsidRDefault="00000000" w:rsidRPr="00000000" w14:paraId="000000A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 9: Consultar Produtos por Categoria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Cliente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Permite que o cliente consulte cursos por categoria.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possui categorias e cursos cadastrados (RF02, RF03).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está acessível (RNF08).</w:t>
      </w:r>
    </w:p>
    <w:p w:rsidR="00000000" w:rsidDel="00000000" w:rsidP="00000000" w:rsidRDefault="00000000" w:rsidRPr="00000000" w14:paraId="000000A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acessa a interface de consulta de cursos.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seleciona uma categoria (RF14).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a lista de cursos associados à categoria. </w:t>
      </w:r>
    </w:p>
    <w:p w:rsidR="00000000" w:rsidDel="00000000" w:rsidP="00000000" w:rsidRDefault="00000000" w:rsidRPr="00000000" w14:paraId="000000B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rtl w:val="0"/>
        </w:rPr>
        <w:t xml:space="preserve">: Categoria sem cursos associados.</w:t>
      </w:r>
    </w:p>
    <w:p w:rsidR="00000000" w:rsidDel="00000000" w:rsidP="00000000" w:rsidRDefault="00000000" w:rsidRPr="00000000" w14:paraId="000000B4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mensagem informando que não há cursos na categoria. </w:t>
      </w:r>
    </w:p>
    <w:p w:rsidR="00000000" w:rsidDel="00000000" w:rsidP="00000000" w:rsidRDefault="00000000" w:rsidRPr="00000000" w14:paraId="000000B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visualiza os cursos da categoria selecionada.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de resposta é inferior a 2 segundos (RNF02).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956C2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956C2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956C2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956C2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956C2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956C2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956C2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956C2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956C2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956C2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956C2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956C2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956C2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956C2C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956C2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956C2C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956C2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956C2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956C2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56C2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956C2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56C2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956C2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956C2C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956C2C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956C2C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956C2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56C2C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956C2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f7HupmKC3W8EV83kun8BjNAUOw==">CgMxLjA4AHIhMTZHMlgxcVdxTXQ1d1hBa09idGRUbHI2a1BqbEh0aGw3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2025-05-30T04:42:00Z</dcterms:created>
  <dc:creator>Nicolas Carvalho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d60ee7e7-5bff-403d-a0dc-dddbb2a6a102</vt:lpwstr>
  </property>
</Properties>
</file>