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1BB" w:rsidRPr="00366FD6" w:rsidRDefault="00B31EEE" w:rsidP="00366FD6">
      <w:pPr>
        <w:jc w:val="center"/>
        <w:rPr>
          <w:rFonts w:ascii="Malgun Gothic Semilight" w:eastAsia="Malgun Gothic Semilight" w:hAnsi="Malgun Gothic Semilight" w:cs="Malgun Gothic Semilight"/>
          <w:b/>
          <w:smallCaps/>
          <w:sz w:val="72"/>
          <w:szCs w:val="72"/>
        </w:rPr>
      </w:pPr>
      <w:r w:rsidRPr="002261BB">
        <w:rPr>
          <w:rFonts w:ascii="Malgun Gothic Semilight" w:eastAsia="Malgun Gothic Semilight" w:hAnsi="Malgun Gothic Semilight" w:cs="Malgun Gothic Semilight"/>
          <w:b/>
          <w:smallCaps/>
          <w:sz w:val="72"/>
          <w:szCs w:val="72"/>
        </w:rPr>
        <w:t>Sistema de gestión de productos y stock</w:t>
      </w:r>
    </w:p>
    <w:p w:rsidR="002261BB" w:rsidRPr="002261BB" w:rsidRDefault="002261BB" w:rsidP="007A027C">
      <w:pPr>
        <w:jc w:val="both"/>
        <w:rPr>
          <w:rFonts w:ascii="Malgun Gothic Semilight" w:eastAsia="Malgun Gothic Semilight" w:hAnsi="Malgun Gothic Semilight" w:cs="Malgun Gothic Semilight"/>
        </w:rPr>
      </w:pPr>
    </w:p>
    <w:p w:rsidR="00B31EEE" w:rsidRPr="002261BB" w:rsidRDefault="00B31EEE" w:rsidP="00B73D8D">
      <w:pPr>
        <w:jc w:val="both"/>
        <w:rPr>
          <w:rFonts w:ascii="Malgun Gothic Semilight" w:eastAsia="Malgun Gothic Semilight" w:hAnsi="Malgun Gothic Semilight" w:cs="Malgun Gothic Semilight"/>
          <w:b/>
          <w:sz w:val="28"/>
          <w:szCs w:val="24"/>
          <w:u w:val="single"/>
        </w:rPr>
      </w:pPr>
      <w:r w:rsidRPr="002261BB">
        <w:rPr>
          <w:rFonts w:ascii="Malgun Gothic Semilight" w:eastAsia="Malgun Gothic Semilight" w:hAnsi="Malgun Gothic Semilight" w:cs="Malgun Gothic Semilight"/>
          <w:b/>
          <w:sz w:val="28"/>
          <w:szCs w:val="24"/>
          <w:u w:val="single"/>
        </w:rPr>
        <w:t>Integrantes:</w:t>
      </w:r>
    </w:p>
    <w:p w:rsidR="00B31EEE" w:rsidRPr="002261BB" w:rsidRDefault="00B31EEE" w:rsidP="00B73D8D">
      <w:pPr>
        <w:ind w:left="1416"/>
        <w:jc w:val="both"/>
        <w:rPr>
          <w:rFonts w:ascii="Malgun Gothic Semilight" w:eastAsia="Malgun Gothic Semilight" w:hAnsi="Malgun Gothic Semilight" w:cs="Malgun Gothic Semilight"/>
          <w:sz w:val="24"/>
          <w:szCs w:val="28"/>
        </w:rPr>
      </w:pPr>
      <w:r w:rsidRPr="002261BB">
        <w:rPr>
          <w:rFonts w:ascii="Malgun Gothic Semilight" w:eastAsia="Malgun Gothic Semilight" w:hAnsi="Malgun Gothic Semilight" w:cs="Malgun Gothic Semilight"/>
          <w:sz w:val="24"/>
          <w:szCs w:val="28"/>
        </w:rPr>
        <w:t xml:space="preserve">Ignacio </w:t>
      </w:r>
      <w:proofErr w:type="spellStart"/>
      <w:r w:rsidRPr="002261BB">
        <w:rPr>
          <w:rFonts w:ascii="Malgun Gothic Semilight" w:eastAsia="Malgun Gothic Semilight" w:hAnsi="Malgun Gothic Semilight" w:cs="Malgun Gothic Semilight"/>
          <w:sz w:val="24"/>
          <w:szCs w:val="28"/>
        </w:rPr>
        <w:t>Tassino</w:t>
      </w:r>
      <w:proofErr w:type="spellEnd"/>
    </w:p>
    <w:p w:rsidR="00B31EEE" w:rsidRPr="002261BB" w:rsidRDefault="00B31EEE" w:rsidP="00B73D8D">
      <w:pPr>
        <w:ind w:left="1416"/>
        <w:jc w:val="both"/>
        <w:rPr>
          <w:rFonts w:ascii="Malgun Gothic Semilight" w:eastAsia="Malgun Gothic Semilight" w:hAnsi="Malgun Gothic Semilight" w:cs="Malgun Gothic Semilight"/>
          <w:sz w:val="24"/>
          <w:szCs w:val="28"/>
        </w:rPr>
      </w:pPr>
      <w:r w:rsidRPr="002261BB">
        <w:rPr>
          <w:rFonts w:ascii="Malgun Gothic Semilight" w:eastAsia="Malgun Gothic Semilight" w:hAnsi="Malgun Gothic Semilight" w:cs="Malgun Gothic Semilight"/>
          <w:sz w:val="24"/>
          <w:szCs w:val="28"/>
        </w:rPr>
        <w:t xml:space="preserve">Ignacio Torres </w:t>
      </w:r>
      <w:proofErr w:type="spellStart"/>
      <w:r w:rsidRPr="002261BB">
        <w:rPr>
          <w:rFonts w:ascii="Malgun Gothic Semilight" w:eastAsia="Malgun Gothic Semilight" w:hAnsi="Malgun Gothic Semilight" w:cs="Malgun Gothic Semilight"/>
          <w:sz w:val="24"/>
          <w:szCs w:val="28"/>
        </w:rPr>
        <w:t>Kanashiro</w:t>
      </w:r>
      <w:proofErr w:type="spellEnd"/>
    </w:p>
    <w:p w:rsidR="00B31EEE" w:rsidRPr="002261BB" w:rsidRDefault="00B31EEE" w:rsidP="00B73D8D">
      <w:pPr>
        <w:ind w:left="1416"/>
        <w:jc w:val="both"/>
        <w:rPr>
          <w:rFonts w:ascii="Malgun Gothic Semilight" w:eastAsia="Malgun Gothic Semilight" w:hAnsi="Malgun Gothic Semilight" w:cs="Malgun Gothic Semilight"/>
          <w:sz w:val="24"/>
          <w:szCs w:val="28"/>
          <w:u w:val="single"/>
        </w:rPr>
      </w:pPr>
      <w:r w:rsidRPr="002261BB">
        <w:rPr>
          <w:rFonts w:ascii="Malgun Gothic Semilight" w:eastAsia="Malgun Gothic Semilight" w:hAnsi="Malgun Gothic Semilight" w:cs="Malgun Gothic Semilight"/>
          <w:sz w:val="24"/>
          <w:szCs w:val="28"/>
        </w:rPr>
        <w:t xml:space="preserve">Nicolás </w:t>
      </w:r>
      <w:proofErr w:type="spellStart"/>
      <w:r w:rsidRPr="002261BB">
        <w:rPr>
          <w:rFonts w:ascii="Malgun Gothic Semilight" w:eastAsia="Malgun Gothic Semilight" w:hAnsi="Malgun Gothic Semilight" w:cs="Malgun Gothic Semilight"/>
          <w:sz w:val="24"/>
          <w:szCs w:val="28"/>
        </w:rPr>
        <w:t>Censori</w:t>
      </w:r>
      <w:proofErr w:type="spellEnd"/>
    </w:p>
    <w:p w:rsidR="007A027C" w:rsidRPr="002261BB" w:rsidRDefault="007A027C" w:rsidP="00B73D8D">
      <w:pPr>
        <w:jc w:val="both"/>
        <w:rPr>
          <w:rFonts w:ascii="Malgun Gothic Semilight" w:eastAsia="Malgun Gothic Semilight" w:hAnsi="Malgun Gothic Semilight" w:cs="Malgun Gothic Semilight"/>
          <w:i/>
          <w:sz w:val="28"/>
          <w:szCs w:val="24"/>
        </w:rPr>
      </w:pPr>
    </w:p>
    <w:p w:rsidR="00B31EEE" w:rsidRPr="002261BB" w:rsidRDefault="00B31EEE" w:rsidP="00B73D8D">
      <w:pPr>
        <w:jc w:val="both"/>
        <w:rPr>
          <w:rFonts w:ascii="Malgun Gothic Semilight" w:eastAsia="Malgun Gothic Semilight" w:hAnsi="Malgun Gothic Semilight" w:cs="Malgun Gothic Semilight"/>
          <w:b/>
          <w:sz w:val="28"/>
          <w:szCs w:val="24"/>
          <w:u w:val="single"/>
        </w:rPr>
      </w:pPr>
      <w:r w:rsidRPr="002261BB">
        <w:rPr>
          <w:rFonts w:ascii="Malgun Gothic Semilight" w:eastAsia="Malgun Gothic Semilight" w:hAnsi="Malgun Gothic Semilight" w:cs="Malgun Gothic Semilight"/>
          <w:b/>
          <w:sz w:val="28"/>
          <w:szCs w:val="24"/>
          <w:u w:val="single"/>
        </w:rPr>
        <w:t>Objetivos:</w:t>
      </w:r>
    </w:p>
    <w:p w:rsidR="007A027C" w:rsidRDefault="00B31EEE" w:rsidP="00B73D8D">
      <w:pPr>
        <w:ind w:left="1410"/>
        <w:jc w:val="both"/>
        <w:rPr>
          <w:rFonts w:ascii="Malgun Gothic Semilight" w:eastAsia="Malgun Gothic Semilight" w:hAnsi="Malgun Gothic Semilight" w:cs="Malgun Gothic Semilight"/>
        </w:rPr>
      </w:pPr>
      <w:r w:rsidRPr="002261BB">
        <w:rPr>
          <w:rFonts w:ascii="Malgun Gothic Semilight" w:eastAsia="Malgun Gothic Semilight" w:hAnsi="Malgun Gothic Semilight" w:cs="Malgun Gothic Semilight"/>
        </w:rPr>
        <w:t>Creación y diseño de un sistema para gestionar de manera automatizada la compra y venta de productos de cualquier tipo de comercio. Además del control de disponibilidad de stock respectivo para realizar de forma correcta dichas operaciones.</w:t>
      </w:r>
    </w:p>
    <w:p w:rsidR="002261BB" w:rsidRPr="002261BB" w:rsidRDefault="002261BB" w:rsidP="00B73D8D">
      <w:pPr>
        <w:ind w:left="1410"/>
        <w:jc w:val="both"/>
        <w:rPr>
          <w:rFonts w:ascii="Malgun Gothic Semilight" w:eastAsia="Malgun Gothic Semilight" w:hAnsi="Malgun Gothic Semilight" w:cs="Malgun Gothic Semilight"/>
        </w:rPr>
      </w:pPr>
    </w:p>
    <w:p w:rsidR="00B31EEE" w:rsidRPr="002261BB" w:rsidRDefault="00B31EEE" w:rsidP="00B73D8D">
      <w:pPr>
        <w:jc w:val="both"/>
        <w:rPr>
          <w:rFonts w:ascii="Malgun Gothic Semilight" w:eastAsia="Malgun Gothic Semilight" w:hAnsi="Malgun Gothic Semilight" w:cs="Malgun Gothic Semilight"/>
          <w:b/>
          <w:sz w:val="28"/>
          <w:szCs w:val="24"/>
          <w:u w:val="single"/>
        </w:rPr>
      </w:pPr>
      <w:r w:rsidRPr="002261BB">
        <w:rPr>
          <w:rFonts w:ascii="Malgun Gothic Semilight" w:eastAsia="Malgun Gothic Semilight" w:hAnsi="Malgun Gothic Semilight" w:cs="Malgun Gothic Semilight"/>
          <w:b/>
          <w:sz w:val="28"/>
          <w:szCs w:val="24"/>
          <w:u w:val="single"/>
        </w:rPr>
        <w:t>Alcance:</w:t>
      </w:r>
    </w:p>
    <w:p w:rsidR="007A027C" w:rsidRPr="002261BB" w:rsidRDefault="00B31EEE" w:rsidP="00B73D8D">
      <w:pPr>
        <w:pStyle w:val="Prrafodelista"/>
        <w:numPr>
          <w:ilvl w:val="1"/>
          <w:numId w:val="1"/>
        </w:numPr>
        <w:jc w:val="both"/>
        <w:rPr>
          <w:rFonts w:ascii="Malgun Gothic Semilight" w:eastAsia="Malgun Gothic Semilight" w:hAnsi="Malgun Gothic Semilight" w:cs="Malgun Gothic Semilight"/>
          <w:sz w:val="24"/>
          <w:szCs w:val="24"/>
        </w:rPr>
      </w:pPr>
      <w:r w:rsidRPr="002261BB">
        <w:rPr>
          <w:rFonts w:ascii="Malgun Gothic Semilight" w:eastAsia="Malgun Gothic Semilight" w:hAnsi="Malgun Gothic Semilight" w:cs="Malgun Gothic Semilight"/>
          <w:sz w:val="24"/>
          <w:szCs w:val="24"/>
        </w:rPr>
        <w:t>Control de existencia de stock</w:t>
      </w:r>
    </w:p>
    <w:p w:rsidR="007A027C" w:rsidRPr="002261BB" w:rsidRDefault="00B31EEE" w:rsidP="00B73D8D">
      <w:pPr>
        <w:pStyle w:val="Prrafodelista"/>
        <w:numPr>
          <w:ilvl w:val="1"/>
          <w:numId w:val="1"/>
        </w:numPr>
        <w:jc w:val="both"/>
        <w:rPr>
          <w:rFonts w:ascii="Malgun Gothic Semilight" w:eastAsia="Malgun Gothic Semilight" w:hAnsi="Malgun Gothic Semilight" w:cs="Malgun Gothic Semilight"/>
          <w:sz w:val="24"/>
          <w:szCs w:val="24"/>
        </w:rPr>
      </w:pPr>
      <w:r w:rsidRPr="002261BB">
        <w:rPr>
          <w:rFonts w:ascii="Malgun Gothic Semilight" w:eastAsia="Malgun Gothic Semilight" w:hAnsi="Malgun Gothic Semilight" w:cs="Malgun Gothic Semilight"/>
          <w:sz w:val="24"/>
          <w:szCs w:val="24"/>
        </w:rPr>
        <w:t>Plataforma de visualización de productos</w:t>
      </w:r>
    </w:p>
    <w:p w:rsidR="007A027C" w:rsidRPr="002261BB" w:rsidRDefault="007A027C" w:rsidP="00B73D8D">
      <w:pPr>
        <w:pStyle w:val="Prrafodelista"/>
        <w:numPr>
          <w:ilvl w:val="1"/>
          <w:numId w:val="1"/>
        </w:numPr>
        <w:jc w:val="both"/>
        <w:rPr>
          <w:rFonts w:ascii="Malgun Gothic Semilight" w:eastAsia="Malgun Gothic Semilight" w:hAnsi="Malgun Gothic Semilight" w:cs="Malgun Gothic Semilight"/>
          <w:sz w:val="24"/>
          <w:szCs w:val="24"/>
        </w:rPr>
      </w:pPr>
      <w:r w:rsidRPr="002261BB">
        <w:rPr>
          <w:rFonts w:ascii="Malgun Gothic Semilight" w:eastAsia="Malgun Gothic Semilight" w:hAnsi="Malgun Gothic Semilight" w:cs="Malgun Gothic Semilight"/>
          <w:sz w:val="24"/>
          <w:szCs w:val="24"/>
        </w:rPr>
        <w:t>Opciones de compra y venta online</w:t>
      </w:r>
    </w:p>
    <w:p w:rsidR="0099657D" w:rsidRPr="002261BB" w:rsidRDefault="007A027C" w:rsidP="00B73D8D">
      <w:pPr>
        <w:pStyle w:val="Prrafodelista"/>
        <w:numPr>
          <w:ilvl w:val="1"/>
          <w:numId w:val="1"/>
        </w:numPr>
        <w:jc w:val="both"/>
        <w:rPr>
          <w:rFonts w:ascii="Malgun Gothic Semilight" w:eastAsia="Malgun Gothic Semilight" w:hAnsi="Malgun Gothic Semilight" w:cs="Malgun Gothic Semilight"/>
          <w:sz w:val="24"/>
          <w:szCs w:val="24"/>
        </w:rPr>
      </w:pPr>
      <w:r w:rsidRPr="002261BB">
        <w:rPr>
          <w:rFonts w:ascii="Malgun Gothic Semilight" w:eastAsia="Malgun Gothic Semilight" w:hAnsi="Malgun Gothic Semilight" w:cs="Malgun Gothic Semilight"/>
          <w:sz w:val="24"/>
          <w:szCs w:val="24"/>
        </w:rPr>
        <w:t xml:space="preserve">Sistema de </w:t>
      </w:r>
      <w:proofErr w:type="spellStart"/>
      <w:r w:rsidRPr="002261BB">
        <w:rPr>
          <w:rFonts w:ascii="Malgun Gothic Semilight" w:eastAsia="Malgun Gothic Semilight" w:hAnsi="Malgun Gothic Semilight" w:cs="Malgun Gothic Semilight"/>
          <w:sz w:val="24"/>
          <w:szCs w:val="24"/>
        </w:rPr>
        <w:t>login</w:t>
      </w:r>
      <w:proofErr w:type="spellEnd"/>
      <w:r w:rsidRPr="002261BB">
        <w:rPr>
          <w:rFonts w:ascii="Malgun Gothic Semilight" w:eastAsia="Malgun Gothic Semilight" w:hAnsi="Malgun Gothic Semilight" w:cs="Malgun Gothic Semilight"/>
          <w:sz w:val="24"/>
          <w:szCs w:val="24"/>
        </w:rPr>
        <w:t xml:space="preserve"> de usuarios</w:t>
      </w:r>
      <w:r w:rsidRPr="002261BB">
        <w:rPr>
          <w:rFonts w:ascii="Malgun Gothic Semilight" w:eastAsia="Malgun Gothic Semilight" w:hAnsi="Malgun Gothic Semilight" w:cs="Malgun Gothic Semilight"/>
          <w:sz w:val="24"/>
          <w:szCs w:val="24"/>
        </w:rPr>
        <w:tab/>
      </w:r>
    </w:p>
    <w:p w:rsidR="007A027C" w:rsidRPr="002261BB" w:rsidRDefault="0099657D" w:rsidP="00B73D8D">
      <w:pPr>
        <w:jc w:val="both"/>
        <w:rPr>
          <w:rFonts w:ascii="Malgun Gothic Semilight" w:eastAsia="Malgun Gothic Semilight" w:hAnsi="Malgun Gothic Semilight" w:cs="Malgun Gothic Semilight"/>
          <w:b/>
          <w:u w:val="single"/>
        </w:rPr>
      </w:pPr>
      <w:r w:rsidRPr="002261BB">
        <w:rPr>
          <w:rFonts w:ascii="Malgun Gothic Semilight" w:eastAsia="Malgun Gothic Semilight" w:hAnsi="Malgun Gothic Semilight" w:cs="Malgun Gothic Semilight"/>
          <w:sz w:val="24"/>
          <w:szCs w:val="24"/>
        </w:rPr>
        <w:br w:type="page"/>
      </w:r>
      <w:r w:rsidR="00B925BF" w:rsidRPr="002261BB">
        <w:rPr>
          <w:rFonts w:ascii="Malgun Gothic Semilight" w:eastAsia="Malgun Gothic Semilight" w:hAnsi="Malgun Gothic Semilight" w:cs="Malgun Gothic Semilight"/>
          <w:b/>
          <w:sz w:val="24"/>
          <w:u w:val="single"/>
        </w:rPr>
        <w:lastRenderedPageBreak/>
        <w:t>Análisis</w:t>
      </w:r>
      <w:r w:rsidRPr="002261BB">
        <w:rPr>
          <w:rFonts w:ascii="Malgun Gothic Semilight" w:eastAsia="Malgun Gothic Semilight" w:hAnsi="Malgun Gothic Semilight" w:cs="Malgun Gothic Semilight"/>
          <w:b/>
          <w:sz w:val="24"/>
          <w:u w:val="single"/>
        </w:rPr>
        <w:t xml:space="preserve"> de Factibilidad:</w:t>
      </w:r>
    </w:p>
    <w:p w:rsidR="00B925BF" w:rsidRPr="002261BB" w:rsidRDefault="00B925BF" w:rsidP="00B73D8D">
      <w:pPr>
        <w:pStyle w:val="Prrafodelista"/>
        <w:numPr>
          <w:ilvl w:val="0"/>
          <w:numId w:val="2"/>
        </w:numPr>
        <w:jc w:val="both"/>
        <w:rPr>
          <w:rFonts w:ascii="Malgun Gothic Semilight" w:eastAsia="Malgun Gothic Semilight" w:hAnsi="Malgun Gothic Semilight" w:cs="Malgun Gothic Semilight"/>
        </w:rPr>
      </w:pPr>
      <w:r w:rsidRPr="002261BB">
        <w:rPr>
          <w:rFonts w:ascii="Malgun Gothic Semilight" w:eastAsia="Malgun Gothic Semilight" w:hAnsi="Malgun Gothic Semilight" w:cs="Malgun Gothic Semilight"/>
          <w:b/>
        </w:rPr>
        <w:t>Técnica</w:t>
      </w:r>
      <w:r w:rsidR="0099657D" w:rsidRPr="002261BB">
        <w:rPr>
          <w:rFonts w:ascii="Malgun Gothic Semilight" w:eastAsia="Malgun Gothic Semilight" w:hAnsi="Malgun Gothic Semilight" w:cs="Malgun Gothic Semilight"/>
        </w:rPr>
        <w:t xml:space="preserve">: Para nuestros servidores elegimos una solución de virtualización de datos en una nube, particularmente el producto que ofrece Amazon, lo cual nos facilita la resolución de incidentes ya que no precisamos de un Data Center o técnicos físicamente en el sitio y poseemos una disponibilidad de 24 </w:t>
      </w:r>
      <w:proofErr w:type="spellStart"/>
      <w:r w:rsidR="0099657D" w:rsidRPr="002261BB">
        <w:rPr>
          <w:rFonts w:ascii="Malgun Gothic Semilight" w:eastAsia="Malgun Gothic Semilight" w:hAnsi="Malgun Gothic Semilight" w:cs="Malgun Gothic Semilight"/>
        </w:rPr>
        <w:t>hs</w:t>
      </w:r>
      <w:proofErr w:type="spellEnd"/>
      <w:r w:rsidR="0099657D" w:rsidRPr="002261BB">
        <w:rPr>
          <w:rFonts w:ascii="Malgun Gothic Semilight" w:eastAsia="Malgun Gothic Semilight" w:hAnsi="Malgun Gothic Semilight" w:cs="Malgun Gothic Semilight"/>
        </w:rPr>
        <w:t xml:space="preserve"> para solucionarlos. A nivel local, dispondríamos de una red interna que facilite la comunicación entre los empleados de soporte y gestión para el escalamiento de incidentes de mayor nivel.</w:t>
      </w:r>
      <w:r w:rsidRPr="002261BB">
        <w:rPr>
          <w:rFonts w:ascii="Malgun Gothic Semilight" w:eastAsia="Malgun Gothic Semilight" w:hAnsi="Malgun Gothic Semilight" w:cs="Malgun Gothic Semilight"/>
        </w:rPr>
        <w:t xml:space="preserve"> Dichos incidentes se manejarían a través de una aplicación (tanto web como móvil) de “Tickets” categorizados por tipo de error.</w:t>
      </w:r>
    </w:p>
    <w:p w:rsidR="00B925BF" w:rsidRPr="002261BB" w:rsidRDefault="00B925BF" w:rsidP="00B73D8D">
      <w:pPr>
        <w:pStyle w:val="Prrafodelista"/>
        <w:ind w:left="1425"/>
        <w:jc w:val="both"/>
        <w:rPr>
          <w:rFonts w:ascii="Malgun Gothic Semilight" w:eastAsia="Malgun Gothic Semilight" w:hAnsi="Malgun Gothic Semilight" w:cs="Malgun Gothic Semilight"/>
        </w:rPr>
      </w:pPr>
    </w:p>
    <w:p w:rsidR="00B73D8D" w:rsidRDefault="00B925BF" w:rsidP="00B73D8D">
      <w:pPr>
        <w:pStyle w:val="Prrafodelista"/>
        <w:numPr>
          <w:ilvl w:val="0"/>
          <w:numId w:val="2"/>
        </w:numPr>
        <w:jc w:val="both"/>
        <w:rPr>
          <w:rFonts w:ascii="Malgun Gothic Semilight" w:eastAsia="Malgun Gothic Semilight" w:hAnsi="Malgun Gothic Semilight" w:cs="Malgun Gothic Semilight"/>
        </w:rPr>
      </w:pPr>
      <w:r w:rsidRPr="002261BB">
        <w:rPr>
          <w:rFonts w:ascii="Malgun Gothic Semilight" w:eastAsia="Malgun Gothic Semilight" w:hAnsi="Malgun Gothic Semilight" w:cs="Malgun Gothic Semilight"/>
          <w:b/>
        </w:rPr>
        <w:t>Operativa</w:t>
      </w:r>
      <w:r w:rsidRPr="002261BB">
        <w:rPr>
          <w:rFonts w:ascii="Malgun Gothic Semilight" w:eastAsia="Malgun Gothic Semilight" w:hAnsi="Malgun Gothic Semilight" w:cs="Malgun Gothic Semilight"/>
        </w:rPr>
        <w:t>: Se requiere un equipo de programadores con capacitación previa de al menos 1 año. Dichos programadores se dividirán en equipos según las distintas etapas del MVC, cada uno de estos equipos estarán compuestos por un mínimo de 3 programadores de cualquier nivel, lider</w:t>
      </w:r>
      <w:r w:rsidR="00B73D8D">
        <w:rPr>
          <w:rFonts w:ascii="Malgun Gothic Semilight" w:eastAsia="Malgun Gothic Semilight" w:hAnsi="Malgun Gothic Semilight" w:cs="Malgun Gothic Semilight"/>
        </w:rPr>
        <w:t xml:space="preserve">ados por un programador </w:t>
      </w:r>
      <w:proofErr w:type="spellStart"/>
      <w:r w:rsidR="00B73D8D">
        <w:rPr>
          <w:rFonts w:ascii="Malgun Gothic Semilight" w:eastAsia="Malgun Gothic Semilight" w:hAnsi="Malgun Gothic Semilight" w:cs="Malgun Gothic Semilight"/>
        </w:rPr>
        <w:t>Senior.</w:t>
      </w:r>
      <w:proofErr w:type="spellEnd"/>
    </w:p>
    <w:p w:rsidR="0099657D" w:rsidRPr="002261BB" w:rsidRDefault="00B925BF" w:rsidP="00B73D8D">
      <w:pPr>
        <w:pStyle w:val="Prrafodelista"/>
        <w:numPr>
          <w:ilvl w:val="0"/>
          <w:numId w:val="2"/>
        </w:numPr>
        <w:jc w:val="both"/>
        <w:rPr>
          <w:rFonts w:ascii="Malgun Gothic Semilight" w:eastAsia="Malgun Gothic Semilight" w:hAnsi="Malgun Gothic Semilight" w:cs="Malgun Gothic Semilight"/>
        </w:rPr>
      </w:pPr>
      <w:r w:rsidRPr="002261BB">
        <w:rPr>
          <w:rFonts w:ascii="Malgun Gothic Semilight" w:eastAsia="Malgun Gothic Semilight" w:hAnsi="Malgun Gothic Semilight" w:cs="Malgun Gothic Semilight"/>
        </w:rPr>
        <w:t xml:space="preserve">Por otro lado, el soporte a los clientes estará controlado por un </w:t>
      </w:r>
      <w:proofErr w:type="spellStart"/>
      <w:r w:rsidRPr="002261BB">
        <w:rPr>
          <w:rFonts w:ascii="Malgun Gothic Semilight" w:eastAsia="Malgun Gothic Semilight" w:hAnsi="Malgun Gothic Semilight" w:cs="Malgun Gothic Semilight"/>
        </w:rPr>
        <w:t>Service</w:t>
      </w:r>
      <w:proofErr w:type="spellEnd"/>
      <w:r w:rsidRPr="002261BB">
        <w:rPr>
          <w:rFonts w:ascii="Malgun Gothic Semilight" w:eastAsia="Malgun Gothic Semilight" w:hAnsi="Malgun Gothic Semilight" w:cs="Malgun Gothic Semilight"/>
        </w:rPr>
        <w:t xml:space="preserve"> Center que poseerá acceso a la </w:t>
      </w:r>
      <w:proofErr w:type="spellStart"/>
      <w:r w:rsidRPr="002261BB">
        <w:rPr>
          <w:rFonts w:ascii="Malgun Gothic Semilight" w:eastAsia="Malgun Gothic Semilight" w:hAnsi="Malgun Gothic Semilight" w:cs="Malgun Gothic Semilight"/>
        </w:rPr>
        <w:t>ticketera</w:t>
      </w:r>
      <w:proofErr w:type="spellEnd"/>
      <w:r w:rsidRPr="002261BB">
        <w:rPr>
          <w:rFonts w:ascii="Malgun Gothic Semilight" w:eastAsia="Malgun Gothic Semilight" w:hAnsi="Malgun Gothic Semilight" w:cs="Malgun Gothic Semilight"/>
        </w:rPr>
        <w:t>, el volumen de dicho equipo crecerá proporcionalmente al volumen de usuarios actual.</w:t>
      </w:r>
    </w:p>
    <w:p w:rsidR="00B925BF" w:rsidRPr="002261BB" w:rsidRDefault="00B925BF" w:rsidP="00B73D8D">
      <w:pPr>
        <w:pStyle w:val="Prrafodelista"/>
        <w:jc w:val="both"/>
        <w:rPr>
          <w:rFonts w:ascii="Malgun Gothic Semilight" w:eastAsia="Malgun Gothic Semilight" w:hAnsi="Malgun Gothic Semilight" w:cs="Malgun Gothic Semilight"/>
        </w:rPr>
      </w:pPr>
    </w:p>
    <w:p w:rsidR="00B925BF" w:rsidRPr="002261BB" w:rsidRDefault="004967A0" w:rsidP="00B73D8D">
      <w:pPr>
        <w:pStyle w:val="Prrafodelista"/>
        <w:numPr>
          <w:ilvl w:val="0"/>
          <w:numId w:val="2"/>
        </w:numPr>
        <w:jc w:val="both"/>
        <w:rPr>
          <w:rFonts w:ascii="Malgun Gothic Semilight" w:eastAsia="Malgun Gothic Semilight" w:hAnsi="Malgun Gothic Semilight" w:cs="Malgun Gothic Semilight"/>
        </w:rPr>
      </w:pPr>
      <w:r w:rsidRPr="002261BB">
        <w:rPr>
          <w:rFonts w:ascii="Malgun Gothic Semilight" w:eastAsia="Malgun Gothic Semilight" w:hAnsi="Malgun Gothic Semilight" w:cs="Malgun Gothic Semilight"/>
          <w:b/>
        </w:rPr>
        <w:t>Económica</w:t>
      </w:r>
      <w:r w:rsidR="00AA39FB" w:rsidRPr="002261BB">
        <w:rPr>
          <w:rFonts w:ascii="Malgun Gothic Semilight" w:eastAsia="Malgun Gothic Semilight" w:hAnsi="Malgun Gothic Semilight" w:cs="Malgun Gothic Semilight"/>
          <w:b/>
        </w:rPr>
        <w:t>:</w:t>
      </w:r>
      <w:r w:rsidR="00AA39FB" w:rsidRPr="002261BB">
        <w:rPr>
          <w:rFonts w:ascii="Malgun Gothic Semilight" w:eastAsia="Malgun Gothic Semilight" w:hAnsi="Malgun Gothic Semilight" w:cs="Malgun Gothic Semilight"/>
        </w:rPr>
        <w:t xml:space="preserve"> Al elegir el servicio de </w:t>
      </w:r>
      <w:proofErr w:type="spellStart"/>
      <w:r w:rsidR="00AA39FB" w:rsidRPr="002261BB">
        <w:rPr>
          <w:rFonts w:ascii="Malgun Gothic Semilight" w:eastAsia="Malgun Gothic Semilight" w:hAnsi="Malgun Gothic Semilight" w:cs="Malgun Gothic Semilight"/>
        </w:rPr>
        <w:t>hosting</w:t>
      </w:r>
      <w:proofErr w:type="spellEnd"/>
      <w:r w:rsidR="00AA39FB" w:rsidRPr="002261BB">
        <w:rPr>
          <w:rFonts w:ascii="Malgun Gothic Semilight" w:eastAsia="Malgun Gothic Semilight" w:hAnsi="Malgun Gothic Semilight" w:cs="Malgun Gothic Semilight"/>
        </w:rPr>
        <w:t xml:space="preserve"> en nube de Amazon (</w:t>
      </w:r>
      <w:proofErr w:type="spellStart"/>
      <w:r w:rsidR="00AA39FB" w:rsidRPr="002261BB">
        <w:rPr>
          <w:rFonts w:ascii="Malgun Gothic Semilight" w:eastAsia="Malgun Gothic Semilight" w:hAnsi="Malgun Gothic Semilight" w:cs="Malgun Gothic Semilight"/>
        </w:rPr>
        <w:t>CloudFront</w:t>
      </w:r>
      <w:proofErr w:type="spellEnd"/>
      <w:r w:rsidR="00AA39FB" w:rsidRPr="002261BB">
        <w:rPr>
          <w:rFonts w:ascii="Malgun Gothic Semilight" w:eastAsia="Malgun Gothic Semilight" w:hAnsi="Malgun Gothic Semilight" w:cs="Malgun Gothic Semilight"/>
        </w:rPr>
        <w:t>) el costo es muy bajo y rendidor. Suponiend</w:t>
      </w:r>
      <w:bookmarkStart w:id="0" w:name="_GoBack"/>
      <w:bookmarkEnd w:id="0"/>
      <w:r w:rsidR="00AA39FB" w:rsidRPr="002261BB">
        <w:rPr>
          <w:rFonts w:ascii="Malgun Gothic Semilight" w:eastAsia="Malgun Gothic Semilight" w:hAnsi="Malgun Gothic Semilight" w:cs="Malgun Gothic Semilight"/>
        </w:rPr>
        <w:t xml:space="preserve">o que el sitio web utiliza </w:t>
      </w:r>
      <w:proofErr w:type="spellStart"/>
      <w:r w:rsidR="00AA39FB" w:rsidRPr="002261BB">
        <w:rPr>
          <w:rFonts w:ascii="Malgun Gothic Semilight" w:eastAsia="Malgun Gothic Semilight" w:hAnsi="Malgun Gothic Semilight" w:cs="Malgun Gothic Semilight"/>
        </w:rPr>
        <w:t>CloudFront</w:t>
      </w:r>
      <w:proofErr w:type="spellEnd"/>
      <w:r w:rsidR="00AA39FB" w:rsidRPr="002261BB">
        <w:rPr>
          <w:rFonts w:ascii="Malgun Gothic Semilight" w:eastAsia="Malgun Gothic Semilight" w:hAnsi="Malgun Gothic Semilight" w:cs="Malgun Gothic Semilight"/>
        </w:rPr>
        <w:t xml:space="preserve"> durante un mes (30 días) y el sitio tiene 1 000 visitas diarias durante dicho período. Cada visita hizo 1 clic que devolvió un único objeto (1 solicitud) y lo hicieron una vez por día durante los 30 días. Resulta que cada solicitud pesa 1 MB para el volumen de datos transferido, por lo tanto, el total del mes sería: 30 000 MB o 29 GB. El total mensual por datos transferidos es 2,47 USD. Además, cada clic es una solicitud HTTP, lo que para el mes equivale a 30 000 solicitudes HTTP, que produce un total de 0,02 USD para el mes. Si se suman ambos valores, el costo total de uso de </w:t>
      </w:r>
      <w:proofErr w:type="spellStart"/>
      <w:r w:rsidR="00AA39FB" w:rsidRPr="002261BB">
        <w:rPr>
          <w:rFonts w:ascii="Malgun Gothic Semilight" w:eastAsia="Malgun Gothic Semilight" w:hAnsi="Malgun Gothic Semilight" w:cs="Malgun Gothic Semilight"/>
        </w:rPr>
        <w:t>CloudFront</w:t>
      </w:r>
      <w:proofErr w:type="spellEnd"/>
      <w:r w:rsidR="00AA39FB" w:rsidRPr="002261BB">
        <w:rPr>
          <w:rFonts w:ascii="Malgun Gothic Semilight" w:eastAsia="Malgun Gothic Semilight" w:hAnsi="Malgun Gothic Semilight" w:cs="Malgun Gothic Semilight"/>
        </w:rPr>
        <w:t xml:space="preserve"> en este ejemplo sería 2,49 </w:t>
      </w:r>
      <w:r w:rsidR="00AA39FB" w:rsidRPr="002261BB">
        <w:rPr>
          <w:rFonts w:ascii="Malgun Gothic Semilight" w:eastAsia="Malgun Gothic Semilight" w:hAnsi="Malgun Gothic Semilight" w:cs="Malgun Gothic Semilight"/>
        </w:rPr>
        <w:lastRenderedPageBreak/>
        <w:t xml:space="preserve">USD al mes. Para amortiguar este gasto, incluiríamos el uso del servicio </w:t>
      </w:r>
      <w:proofErr w:type="spellStart"/>
      <w:r w:rsidR="00AA39FB" w:rsidRPr="002261BB">
        <w:rPr>
          <w:rFonts w:ascii="Malgun Gothic Semilight" w:eastAsia="Malgun Gothic Semilight" w:hAnsi="Malgun Gothic Semilight" w:cs="Malgun Gothic Semilight"/>
        </w:rPr>
        <w:t>AdSense</w:t>
      </w:r>
      <w:proofErr w:type="spellEnd"/>
      <w:r w:rsidR="00AA39FB" w:rsidRPr="002261BB">
        <w:rPr>
          <w:rFonts w:ascii="Malgun Gothic Semilight" w:eastAsia="Malgun Gothic Semilight" w:hAnsi="Malgun Gothic Semilight" w:cs="Malgun Gothic Semilight"/>
        </w:rPr>
        <w:t xml:space="preserve"> de Google, que según su </w:t>
      </w:r>
      <w:r w:rsidRPr="002261BB">
        <w:rPr>
          <w:rFonts w:ascii="Malgun Gothic Semilight" w:eastAsia="Malgun Gothic Semilight" w:hAnsi="Malgun Gothic Semilight" w:cs="Malgun Gothic Semilight"/>
        </w:rPr>
        <w:t>fórmula (</w:t>
      </w:r>
      <w:r w:rsidRPr="002261BB">
        <w:rPr>
          <w:rStyle w:val="Refdenotaalfinal"/>
          <w:rFonts w:ascii="Malgun Gothic Semilight" w:eastAsia="Malgun Gothic Semilight" w:hAnsi="Malgun Gothic Semilight" w:cs="Malgun Gothic Semilight"/>
        </w:rPr>
        <w:endnoteReference w:id="1"/>
      </w:r>
      <w:r w:rsidRPr="002261BB">
        <w:rPr>
          <w:rFonts w:ascii="Malgun Gothic Semilight" w:eastAsia="Malgun Gothic Semilight" w:hAnsi="Malgun Gothic Semilight" w:cs="Malgun Gothic Semilight"/>
        </w:rPr>
        <w:t>*</w:t>
      </w:r>
      <w:r w:rsidR="00AA39FB" w:rsidRPr="002261BB">
        <w:rPr>
          <w:rFonts w:ascii="Malgun Gothic Semilight" w:eastAsia="Malgun Gothic Semilight" w:hAnsi="Malgun Gothic Semilight" w:cs="Malgun Gothic Semilight"/>
        </w:rPr>
        <w:t xml:space="preserve">CPC x CTR x </w:t>
      </w:r>
      <w:proofErr w:type="spellStart"/>
      <w:r w:rsidR="00AA39FB" w:rsidRPr="002261BB">
        <w:rPr>
          <w:rFonts w:ascii="Malgun Gothic Semilight" w:eastAsia="Malgun Gothic Semilight" w:hAnsi="Malgun Gothic Semilight" w:cs="Malgun Gothic Semilight"/>
        </w:rPr>
        <w:t>PageViews</w:t>
      </w:r>
      <w:proofErr w:type="spellEnd"/>
      <w:r w:rsidRPr="002261BB">
        <w:rPr>
          <w:rFonts w:ascii="Malgun Gothic Semilight" w:eastAsia="Malgun Gothic Semilight" w:hAnsi="Malgun Gothic Semilight" w:cs="Malgun Gothic Semilight"/>
        </w:rPr>
        <w:t xml:space="preserve">), considerando que el sitio tiene 1000 visitantes al día y cada visitante ve 2 páginas del sitio, habrá 2000 páginas vistas por día. Si el promedio de CPC es $0,50 USD y el CTR es de 2% (2 </w:t>
      </w:r>
      <w:proofErr w:type="spellStart"/>
      <w:r w:rsidRPr="002261BB">
        <w:rPr>
          <w:rFonts w:ascii="Malgun Gothic Semilight" w:eastAsia="Malgun Gothic Semilight" w:hAnsi="Malgun Gothic Semilight" w:cs="Malgun Gothic Semilight"/>
        </w:rPr>
        <w:t>clicks</w:t>
      </w:r>
      <w:proofErr w:type="spellEnd"/>
      <w:r w:rsidRPr="002261BB">
        <w:rPr>
          <w:rFonts w:ascii="Malgun Gothic Semilight" w:eastAsia="Malgun Gothic Semilight" w:hAnsi="Malgun Gothic Semilight" w:cs="Malgun Gothic Semilight"/>
        </w:rPr>
        <w:t xml:space="preserve"> en cada publicidad cada 100 paginas), la ganancia </w:t>
      </w:r>
      <w:proofErr w:type="spellStart"/>
      <w:r w:rsidRPr="002261BB">
        <w:rPr>
          <w:rFonts w:ascii="Malgun Gothic Semilight" w:eastAsia="Malgun Gothic Semilight" w:hAnsi="Malgun Gothic Semilight" w:cs="Malgun Gothic Semilight"/>
        </w:rPr>
        <w:t>sera</w:t>
      </w:r>
      <w:proofErr w:type="spellEnd"/>
      <w:r w:rsidRPr="002261BB">
        <w:rPr>
          <w:rFonts w:ascii="Malgun Gothic Semilight" w:eastAsia="Malgun Gothic Semilight" w:hAnsi="Malgun Gothic Semilight" w:cs="Malgun Gothic Semilight"/>
        </w:rPr>
        <w:t xml:space="preserve"> de </w:t>
      </w:r>
      <w:r w:rsidR="00AA39FB" w:rsidRPr="002261BB">
        <w:rPr>
          <w:rFonts w:ascii="Malgun Gothic Semilight" w:eastAsia="Malgun Gothic Semilight" w:hAnsi="Malgun Gothic Semilight" w:cs="Malgun Gothic Semilight"/>
        </w:rPr>
        <w:t xml:space="preserve"> 0.5*0.02*2000 = $20 </w:t>
      </w:r>
      <w:r w:rsidRPr="002261BB">
        <w:rPr>
          <w:rFonts w:ascii="Malgun Gothic Semilight" w:eastAsia="Malgun Gothic Semilight" w:hAnsi="Malgun Gothic Semilight" w:cs="Malgun Gothic Semilight"/>
        </w:rPr>
        <w:t>USD al día.</w:t>
      </w:r>
    </w:p>
    <w:p w:rsidR="005B1BAB" w:rsidRPr="002261BB" w:rsidRDefault="005B1BAB" w:rsidP="00B73D8D">
      <w:pPr>
        <w:jc w:val="both"/>
        <w:rPr>
          <w:rFonts w:ascii="Malgun Gothic Semilight" w:eastAsia="Malgun Gothic Semilight" w:hAnsi="Malgun Gothic Semilight" w:cs="Malgun Gothic Semilight"/>
        </w:rPr>
      </w:pPr>
    </w:p>
    <w:p w:rsidR="005B1BAB" w:rsidRPr="002261BB" w:rsidRDefault="00530582" w:rsidP="00B73D8D">
      <w:pPr>
        <w:jc w:val="both"/>
        <w:rPr>
          <w:rFonts w:ascii="Malgun Gothic Semilight" w:eastAsia="Malgun Gothic Semilight" w:hAnsi="Malgun Gothic Semilight" w:cs="Malgun Gothic Semilight"/>
          <w:sz w:val="24"/>
        </w:rPr>
      </w:pPr>
      <w:r w:rsidRPr="002261BB">
        <w:rPr>
          <w:rFonts w:ascii="Malgun Gothic Semilight" w:eastAsia="Malgun Gothic Semilight" w:hAnsi="Malgun Gothic Semilight" w:cs="Malgun Gothic Semilight"/>
          <w:b/>
          <w:sz w:val="24"/>
          <w:u w:val="single"/>
        </w:rPr>
        <w:t>Análisis</w:t>
      </w:r>
      <w:r w:rsidR="005B1BAB" w:rsidRPr="002261BB">
        <w:rPr>
          <w:rFonts w:ascii="Malgun Gothic Semilight" w:eastAsia="Malgun Gothic Semilight" w:hAnsi="Malgun Gothic Semilight" w:cs="Malgun Gothic Semilight"/>
          <w:b/>
          <w:sz w:val="24"/>
          <w:u w:val="single"/>
        </w:rPr>
        <w:t xml:space="preserve"> de Riesgo:</w:t>
      </w:r>
    </w:p>
    <w:p w:rsidR="005B1BAB" w:rsidRPr="002261BB" w:rsidRDefault="005B1BAB" w:rsidP="00B73D8D">
      <w:pPr>
        <w:pStyle w:val="Prrafodelista"/>
        <w:numPr>
          <w:ilvl w:val="0"/>
          <w:numId w:val="3"/>
        </w:numPr>
        <w:ind w:left="1418"/>
        <w:jc w:val="both"/>
        <w:rPr>
          <w:rFonts w:ascii="Malgun Gothic Semilight" w:eastAsia="Malgun Gothic Semilight" w:hAnsi="Malgun Gothic Semilight" w:cs="Malgun Gothic Semilight"/>
          <w:b/>
        </w:rPr>
      </w:pPr>
      <w:r w:rsidRPr="002261BB">
        <w:rPr>
          <w:rFonts w:ascii="Malgun Gothic Semilight" w:eastAsia="Malgun Gothic Semilight" w:hAnsi="Malgun Gothic Semilight" w:cs="Malgun Gothic Semilight"/>
          <w:b/>
        </w:rPr>
        <w:t xml:space="preserve">Renuncia del Personal: </w:t>
      </w:r>
      <w:r w:rsidRPr="002261BB">
        <w:rPr>
          <w:rFonts w:ascii="Malgun Gothic Semilight" w:eastAsia="Malgun Gothic Semilight" w:hAnsi="Malgun Gothic Semilight" w:cs="Malgun Gothic Semilight"/>
        </w:rPr>
        <w:t>Existe la posibilidad de que integrantes del proyecto renuncien a su puesto provocando retrasos en el desarrollo del sistema. Para evitar esto, se ofrece un bono para aquellos desarrolladores que completen sus tareas diarias y otro para aquellos que completen el proyecto junto a la empresa.</w:t>
      </w:r>
    </w:p>
    <w:p w:rsidR="00530582" w:rsidRPr="002261BB" w:rsidRDefault="00530582" w:rsidP="00B73D8D">
      <w:pPr>
        <w:pStyle w:val="Prrafodelista"/>
        <w:numPr>
          <w:ilvl w:val="0"/>
          <w:numId w:val="3"/>
        </w:numPr>
        <w:ind w:left="1418"/>
        <w:jc w:val="both"/>
        <w:rPr>
          <w:rFonts w:ascii="Malgun Gothic Semilight" w:eastAsia="Malgun Gothic Semilight" w:hAnsi="Malgun Gothic Semilight" w:cs="Malgun Gothic Semilight"/>
          <w:b/>
        </w:rPr>
      </w:pPr>
      <w:r w:rsidRPr="002261BB">
        <w:rPr>
          <w:rFonts w:ascii="Malgun Gothic Semilight" w:eastAsia="Malgun Gothic Semilight" w:hAnsi="Malgun Gothic Semilight" w:cs="Malgun Gothic Semilight"/>
          <w:b/>
        </w:rPr>
        <w:t>Caída del servidor principal:</w:t>
      </w:r>
      <w:r w:rsidRPr="002261BB">
        <w:rPr>
          <w:rFonts w:ascii="Malgun Gothic Semilight" w:eastAsia="Malgun Gothic Semilight" w:hAnsi="Malgun Gothic Semilight" w:cs="Malgun Gothic Semilight"/>
        </w:rPr>
        <w:t xml:space="preserve"> Debido a inconvenientes imprevistos, el servicio puede estar suspendido por tiempo indeterminado. Sin embargo, al contratar el servicio de nube de Amazon </w:t>
      </w:r>
      <w:proofErr w:type="spellStart"/>
      <w:r w:rsidRPr="002261BB">
        <w:rPr>
          <w:rFonts w:ascii="Malgun Gothic Semilight" w:eastAsia="Malgun Gothic Semilight" w:hAnsi="Malgun Gothic Semilight" w:cs="Malgun Gothic Semilight"/>
        </w:rPr>
        <w:t>CloudFront</w:t>
      </w:r>
      <w:proofErr w:type="spellEnd"/>
      <w:r w:rsidRPr="002261BB">
        <w:rPr>
          <w:rFonts w:ascii="Malgun Gothic Semilight" w:eastAsia="Malgun Gothic Semilight" w:hAnsi="Malgun Gothic Semilight" w:cs="Malgun Gothic Semilight"/>
        </w:rPr>
        <w:t>, en casos de emergencia el servicio ofrece la re-digitalización del servidor desde una copia de seguridad.</w:t>
      </w:r>
    </w:p>
    <w:p w:rsidR="00530582" w:rsidRPr="002261BB" w:rsidRDefault="00530582" w:rsidP="00B73D8D">
      <w:pPr>
        <w:pStyle w:val="Prrafodelista"/>
        <w:numPr>
          <w:ilvl w:val="0"/>
          <w:numId w:val="3"/>
        </w:numPr>
        <w:ind w:left="1418"/>
        <w:jc w:val="both"/>
        <w:rPr>
          <w:rFonts w:ascii="Malgun Gothic Semilight" w:eastAsia="Malgun Gothic Semilight" w:hAnsi="Malgun Gothic Semilight" w:cs="Malgun Gothic Semilight"/>
          <w:b/>
        </w:rPr>
      </w:pPr>
      <w:r w:rsidRPr="002261BB">
        <w:rPr>
          <w:rFonts w:ascii="Malgun Gothic Semilight" w:eastAsia="Malgun Gothic Semilight" w:hAnsi="Malgun Gothic Semilight" w:cs="Malgun Gothic Semilight"/>
          <w:b/>
        </w:rPr>
        <w:t>Estafas digitales en publicaciones:</w:t>
      </w:r>
      <w:r w:rsidRPr="002261BB">
        <w:rPr>
          <w:rFonts w:ascii="Malgun Gothic Semilight" w:eastAsia="Malgun Gothic Semilight" w:hAnsi="Malgun Gothic Semilight" w:cs="Malgun Gothic Semilight"/>
        </w:rPr>
        <w:t xml:space="preserve"> A pesar de que las publicaciones están reguladas por administradores, es posible la falsificación y/o venta de productos ilegítimos o ilegales. Nuestra solución es el uso Google Cloud </w:t>
      </w:r>
      <w:proofErr w:type="spellStart"/>
      <w:r w:rsidRPr="002261BB">
        <w:rPr>
          <w:rFonts w:ascii="Malgun Gothic Semilight" w:eastAsia="Malgun Gothic Semilight" w:hAnsi="Malgun Gothic Semilight" w:cs="Malgun Gothic Semilight"/>
        </w:rPr>
        <w:t>Vision</w:t>
      </w:r>
      <w:proofErr w:type="spellEnd"/>
      <w:r w:rsidRPr="002261BB">
        <w:rPr>
          <w:rFonts w:ascii="Malgun Gothic Semilight" w:eastAsia="Malgun Gothic Semilight" w:hAnsi="Malgun Gothic Semilight" w:cs="Malgun Gothic Semilight"/>
        </w:rPr>
        <w:t xml:space="preserve">. Una API que analiza contenido digital y lo compara con una base de datos. Al crear una publicación el usuario se </w:t>
      </w:r>
      <w:r w:rsidR="002261BB" w:rsidRPr="002261BB">
        <w:rPr>
          <w:rFonts w:ascii="Malgun Gothic Semilight" w:eastAsia="Malgun Gothic Semilight" w:hAnsi="Malgun Gothic Semilight" w:cs="Malgun Gothic Semilight"/>
        </w:rPr>
        <w:t>verá</w:t>
      </w:r>
      <w:r w:rsidRPr="002261BB">
        <w:rPr>
          <w:rFonts w:ascii="Malgun Gothic Semilight" w:eastAsia="Malgun Gothic Semilight" w:hAnsi="Malgun Gothic Semilight" w:cs="Malgun Gothic Semilight"/>
        </w:rPr>
        <w:t xml:space="preserve"> obligado a categorizarla </w:t>
      </w:r>
      <w:r w:rsidR="002261BB" w:rsidRPr="002261BB">
        <w:rPr>
          <w:rFonts w:ascii="Malgun Gothic Semilight" w:eastAsia="Malgun Gothic Semilight" w:hAnsi="Malgun Gothic Semilight" w:cs="Malgun Gothic Semilight"/>
        </w:rPr>
        <w:t>y subir una imagen del producto, la cual será evaluada con esta aplicación.</w:t>
      </w:r>
    </w:p>
    <w:p w:rsidR="005B1BAB" w:rsidRPr="005B1BAB" w:rsidRDefault="005B1BAB" w:rsidP="005B1BAB">
      <w:pPr>
        <w:rPr>
          <w:rFonts w:ascii="Malgun Gothic Semilight" w:eastAsia="Malgun Gothic Semilight" w:hAnsi="Malgun Gothic Semilight" w:cs="Malgun Gothic Semilight"/>
        </w:rPr>
      </w:pPr>
    </w:p>
    <w:sectPr w:rsidR="005B1BAB" w:rsidRPr="005B1BA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6D2C" w:rsidRDefault="009A6D2C" w:rsidP="004967A0">
      <w:pPr>
        <w:spacing w:after="0" w:line="240" w:lineRule="auto"/>
      </w:pPr>
      <w:r>
        <w:separator/>
      </w:r>
    </w:p>
  </w:endnote>
  <w:endnote w:type="continuationSeparator" w:id="0">
    <w:p w:rsidR="009A6D2C" w:rsidRDefault="009A6D2C" w:rsidP="004967A0">
      <w:pPr>
        <w:spacing w:after="0" w:line="240" w:lineRule="auto"/>
      </w:pPr>
      <w:r>
        <w:continuationSeparator/>
      </w:r>
    </w:p>
  </w:endnote>
  <w:endnote w:id="1">
    <w:p w:rsidR="004967A0" w:rsidRPr="005B1BAB" w:rsidRDefault="004967A0">
      <w:pPr>
        <w:pStyle w:val="Textonotaalfinal"/>
        <w:rPr>
          <w:rFonts w:ascii="Malgun Gothic Semilight" w:eastAsia="Malgun Gothic Semilight" w:hAnsi="Malgun Gothic Semilight" w:cs="Malgun Gothic Semilight"/>
          <w:lang w:val="en-US"/>
        </w:rPr>
      </w:pPr>
      <w:r w:rsidRPr="005B1BAB">
        <w:rPr>
          <w:rStyle w:val="Refdenotaalfinal"/>
          <w:rFonts w:ascii="Malgun Gothic Semilight" w:eastAsia="Malgun Gothic Semilight" w:hAnsi="Malgun Gothic Semilight" w:cs="Malgun Gothic Semilight"/>
          <w:sz w:val="40"/>
          <w:lang w:val="en-US"/>
        </w:rPr>
        <w:t>*</w:t>
      </w:r>
      <w:r w:rsidRPr="005B1BAB">
        <w:rPr>
          <w:rFonts w:ascii="Malgun Gothic Semilight" w:eastAsia="Malgun Gothic Semilight" w:hAnsi="Malgun Gothic Semilight" w:cs="Malgun Gothic Semilight"/>
          <w:lang w:val="en-US"/>
        </w:rPr>
        <w:t xml:space="preserve"> </w:t>
      </w:r>
      <w:r w:rsidRPr="005B1BAB">
        <w:rPr>
          <w:rFonts w:ascii="Malgun Gothic Semilight" w:eastAsia="Malgun Gothic Semilight" w:hAnsi="Malgun Gothic Semilight" w:cs="Malgun Gothic Semilight"/>
          <w:b/>
          <w:sz w:val="18"/>
          <w:u w:val="single"/>
          <w:lang w:val="en-US"/>
        </w:rPr>
        <w:t>CPC:</w:t>
      </w:r>
      <w:r w:rsidRPr="005B1BAB">
        <w:rPr>
          <w:rFonts w:ascii="Malgun Gothic Semilight" w:eastAsia="Malgun Gothic Semilight" w:hAnsi="Malgun Gothic Semilight" w:cs="Malgun Gothic Semilight"/>
          <w:sz w:val="18"/>
          <w:lang w:val="en-US"/>
        </w:rPr>
        <w:t xml:space="preserve"> Cost Per Click </w:t>
      </w:r>
      <w:r w:rsidR="005B1BAB" w:rsidRPr="005B1BAB">
        <w:rPr>
          <w:rFonts w:ascii="Malgun Gothic Semilight" w:eastAsia="Malgun Gothic Semilight" w:hAnsi="Malgun Gothic Semilight" w:cs="Malgun Gothic Semilight"/>
          <w:sz w:val="18"/>
          <w:lang w:val="en-US"/>
        </w:rPr>
        <w:br/>
        <w:t xml:space="preserve">   </w:t>
      </w:r>
      <w:r w:rsidRPr="005B1BAB">
        <w:rPr>
          <w:rFonts w:ascii="Malgun Gothic Semilight" w:eastAsia="Malgun Gothic Semilight" w:hAnsi="Malgun Gothic Semilight" w:cs="Malgun Gothic Semilight"/>
          <w:b/>
          <w:sz w:val="18"/>
          <w:u w:val="single"/>
          <w:lang w:val="en-US"/>
        </w:rPr>
        <w:t>CTR:</w:t>
      </w:r>
      <w:r w:rsidRPr="005B1BAB">
        <w:rPr>
          <w:rFonts w:ascii="Malgun Gothic Semilight" w:eastAsia="Malgun Gothic Semilight" w:hAnsi="Malgun Gothic Semilight" w:cs="Malgun Gothic Semilight"/>
          <w:sz w:val="18"/>
          <w:lang w:val="en-US"/>
        </w:rPr>
        <w:t xml:space="preserve"> Click Through Rate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lgun Gothic Semilight">
    <w:panose1 w:val="020B0502040204020203"/>
    <w:charset w:val="81"/>
    <w:family w:val="swiss"/>
    <w:pitch w:val="variable"/>
    <w:sig w:usb0="B0000AAF" w:usb1="09DF7CFB" w:usb2="00000012" w:usb3="00000000" w:csb0="003E01BD"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6D2C" w:rsidRDefault="009A6D2C" w:rsidP="004967A0">
      <w:pPr>
        <w:spacing w:after="0" w:line="240" w:lineRule="auto"/>
      </w:pPr>
      <w:r>
        <w:separator/>
      </w:r>
    </w:p>
  </w:footnote>
  <w:footnote w:type="continuationSeparator" w:id="0">
    <w:p w:rsidR="009A6D2C" w:rsidRDefault="009A6D2C" w:rsidP="004967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B4701D"/>
    <w:multiLevelType w:val="hybridMultilevel"/>
    <w:tmpl w:val="4AF4D8AE"/>
    <w:lvl w:ilvl="0" w:tplc="2C0A0001">
      <w:start w:val="1"/>
      <w:numFmt w:val="bullet"/>
      <w:lvlText w:val=""/>
      <w:lvlJc w:val="left"/>
      <w:pPr>
        <w:ind w:left="720" w:hanging="360"/>
      </w:pPr>
      <w:rPr>
        <w:rFonts w:ascii="Symbol" w:hAnsi="Symbol" w:hint="default"/>
      </w:rPr>
    </w:lvl>
    <w:lvl w:ilvl="1" w:tplc="2C0A0001">
      <w:start w:val="1"/>
      <w:numFmt w:val="bullet"/>
      <w:lvlText w:val=""/>
      <w:lvlJc w:val="left"/>
      <w:pPr>
        <w:ind w:left="1440" w:hanging="360"/>
      </w:pPr>
      <w:rPr>
        <w:rFonts w:ascii="Symbol" w:hAnsi="Symbol"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1160310"/>
    <w:multiLevelType w:val="hybridMultilevel"/>
    <w:tmpl w:val="5AD886CC"/>
    <w:lvl w:ilvl="0" w:tplc="2C0A0001">
      <w:start w:val="1"/>
      <w:numFmt w:val="bullet"/>
      <w:lvlText w:val=""/>
      <w:lvlJc w:val="left"/>
      <w:pPr>
        <w:ind w:left="1425" w:hanging="360"/>
      </w:pPr>
      <w:rPr>
        <w:rFonts w:ascii="Symbol" w:hAnsi="Symbol" w:hint="default"/>
      </w:rPr>
    </w:lvl>
    <w:lvl w:ilvl="1" w:tplc="2C0A0003">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2">
    <w:nsid w:val="55C656E0"/>
    <w:multiLevelType w:val="hybridMultilevel"/>
    <w:tmpl w:val="03423FB2"/>
    <w:lvl w:ilvl="0" w:tplc="D8EC5FD0">
      <w:start w:val="1"/>
      <w:numFmt w:val="bullet"/>
      <w:lvlText w:val=""/>
      <w:lvlJc w:val="left"/>
      <w:pPr>
        <w:ind w:left="1637" w:hanging="360"/>
      </w:pPr>
      <w:rPr>
        <w:rFonts w:ascii="Symbol" w:hAnsi="Symbol" w:hint="default"/>
        <w:sz w:val="22"/>
      </w:rPr>
    </w:lvl>
    <w:lvl w:ilvl="1" w:tplc="2C0A0003" w:tentative="1">
      <w:start w:val="1"/>
      <w:numFmt w:val="bullet"/>
      <w:lvlText w:val="o"/>
      <w:lvlJc w:val="left"/>
      <w:pPr>
        <w:ind w:left="2357" w:hanging="360"/>
      </w:pPr>
      <w:rPr>
        <w:rFonts w:ascii="Courier New" w:hAnsi="Courier New" w:cs="Courier New" w:hint="default"/>
      </w:rPr>
    </w:lvl>
    <w:lvl w:ilvl="2" w:tplc="2C0A0005" w:tentative="1">
      <w:start w:val="1"/>
      <w:numFmt w:val="bullet"/>
      <w:lvlText w:val=""/>
      <w:lvlJc w:val="left"/>
      <w:pPr>
        <w:ind w:left="3077" w:hanging="360"/>
      </w:pPr>
      <w:rPr>
        <w:rFonts w:ascii="Wingdings" w:hAnsi="Wingdings" w:hint="default"/>
      </w:rPr>
    </w:lvl>
    <w:lvl w:ilvl="3" w:tplc="2C0A0001" w:tentative="1">
      <w:start w:val="1"/>
      <w:numFmt w:val="bullet"/>
      <w:lvlText w:val=""/>
      <w:lvlJc w:val="left"/>
      <w:pPr>
        <w:ind w:left="3797" w:hanging="360"/>
      </w:pPr>
      <w:rPr>
        <w:rFonts w:ascii="Symbol" w:hAnsi="Symbol" w:hint="default"/>
      </w:rPr>
    </w:lvl>
    <w:lvl w:ilvl="4" w:tplc="2C0A0003" w:tentative="1">
      <w:start w:val="1"/>
      <w:numFmt w:val="bullet"/>
      <w:lvlText w:val="o"/>
      <w:lvlJc w:val="left"/>
      <w:pPr>
        <w:ind w:left="4517" w:hanging="360"/>
      </w:pPr>
      <w:rPr>
        <w:rFonts w:ascii="Courier New" w:hAnsi="Courier New" w:cs="Courier New" w:hint="default"/>
      </w:rPr>
    </w:lvl>
    <w:lvl w:ilvl="5" w:tplc="2C0A0005" w:tentative="1">
      <w:start w:val="1"/>
      <w:numFmt w:val="bullet"/>
      <w:lvlText w:val=""/>
      <w:lvlJc w:val="left"/>
      <w:pPr>
        <w:ind w:left="5237" w:hanging="360"/>
      </w:pPr>
      <w:rPr>
        <w:rFonts w:ascii="Wingdings" w:hAnsi="Wingdings" w:hint="default"/>
      </w:rPr>
    </w:lvl>
    <w:lvl w:ilvl="6" w:tplc="2C0A0001" w:tentative="1">
      <w:start w:val="1"/>
      <w:numFmt w:val="bullet"/>
      <w:lvlText w:val=""/>
      <w:lvlJc w:val="left"/>
      <w:pPr>
        <w:ind w:left="5957" w:hanging="360"/>
      </w:pPr>
      <w:rPr>
        <w:rFonts w:ascii="Symbol" w:hAnsi="Symbol" w:hint="default"/>
      </w:rPr>
    </w:lvl>
    <w:lvl w:ilvl="7" w:tplc="2C0A0003" w:tentative="1">
      <w:start w:val="1"/>
      <w:numFmt w:val="bullet"/>
      <w:lvlText w:val="o"/>
      <w:lvlJc w:val="left"/>
      <w:pPr>
        <w:ind w:left="6677" w:hanging="360"/>
      </w:pPr>
      <w:rPr>
        <w:rFonts w:ascii="Courier New" w:hAnsi="Courier New" w:cs="Courier New" w:hint="default"/>
      </w:rPr>
    </w:lvl>
    <w:lvl w:ilvl="8" w:tplc="2C0A0005" w:tentative="1">
      <w:start w:val="1"/>
      <w:numFmt w:val="bullet"/>
      <w:lvlText w:val=""/>
      <w:lvlJc w:val="left"/>
      <w:pPr>
        <w:ind w:left="7397"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EEE"/>
    <w:rsid w:val="002261BB"/>
    <w:rsid w:val="00366FD6"/>
    <w:rsid w:val="0038685A"/>
    <w:rsid w:val="004967A0"/>
    <w:rsid w:val="00530582"/>
    <w:rsid w:val="005B1BAB"/>
    <w:rsid w:val="007A027C"/>
    <w:rsid w:val="008653C2"/>
    <w:rsid w:val="0099657D"/>
    <w:rsid w:val="009A6D2C"/>
    <w:rsid w:val="00AA39FB"/>
    <w:rsid w:val="00AB5DF9"/>
    <w:rsid w:val="00B31EEE"/>
    <w:rsid w:val="00B73D8D"/>
    <w:rsid w:val="00B925BF"/>
    <w:rsid w:val="00EE2CF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DF9"/>
  </w:style>
  <w:style w:type="paragraph" w:styleId="Ttulo1">
    <w:name w:val="heading 1"/>
    <w:basedOn w:val="Normal"/>
    <w:next w:val="Normal"/>
    <w:link w:val="Ttulo1Car"/>
    <w:uiPriority w:val="9"/>
    <w:qFormat/>
    <w:rsid w:val="00AB5D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B5D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5DF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B5DF9"/>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AB5D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B5DF9"/>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7A027C"/>
    <w:pPr>
      <w:ind w:left="720"/>
      <w:contextualSpacing/>
    </w:pPr>
  </w:style>
  <w:style w:type="paragraph" w:styleId="Encabezado">
    <w:name w:val="header"/>
    <w:basedOn w:val="Normal"/>
    <w:link w:val="EncabezadoCar"/>
    <w:uiPriority w:val="99"/>
    <w:unhideWhenUsed/>
    <w:rsid w:val="004967A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967A0"/>
  </w:style>
  <w:style w:type="paragraph" w:styleId="Piedepgina">
    <w:name w:val="footer"/>
    <w:basedOn w:val="Normal"/>
    <w:link w:val="PiedepginaCar"/>
    <w:uiPriority w:val="99"/>
    <w:unhideWhenUsed/>
    <w:rsid w:val="004967A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967A0"/>
  </w:style>
  <w:style w:type="paragraph" w:styleId="Textodeglobo">
    <w:name w:val="Balloon Text"/>
    <w:basedOn w:val="Normal"/>
    <w:link w:val="TextodegloboCar"/>
    <w:uiPriority w:val="99"/>
    <w:semiHidden/>
    <w:unhideWhenUsed/>
    <w:rsid w:val="004967A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67A0"/>
    <w:rPr>
      <w:rFonts w:ascii="Tahoma" w:hAnsi="Tahoma" w:cs="Tahoma"/>
      <w:sz w:val="16"/>
      <w:szCs w:val="16"/>
    </w:rPr>
  </w:style>
  <w:style w:type="paragraph" w:styleId="Textonotaalfinal">
    <w:name w:val="endnote text"/>
    <w:basedOn w:val="Normal"/>
    <w:link w:val="TextonotaalfinalCar"/>
    <w:uiPriority w:val="99"/>
    <w:semiHidden/>
    <w:unhideWhenUsed/>
    <w:rsid w:val="004967A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967A0"/>
    <w:rPr>
      <w:sz w:val="20"/>
      <w:szCs w:val="20"/>
    </w:rPr>
  </w:style>
  <w:style w:type="character" w:styleId="Refdenotaalfinal">
    <w:name w:val="endnote reference"/>
    <w:basedOn w:val="Fuentedeprrafopredeter"/>
    <w:uiPriority w:val="99"/>
    <w:semiHidden/>
    <w:unhideWhenUsed/>
    <w:rsid w:val="004967A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DF9"/>
  </w:style>
  <w:style w:type="paragraph" w:styleId="Ttulo1">
    <w:name w:val="heading 1"/>
    <w:basedOn w:val="Normal"/>
    <w:next w:val="Normal"/>
    <w:link w:val="Ttulo1Car"/>
    <w:uiPriority w:val="9"/>
    <w:qFormat/>
    <w:rsid w:val="00AB5D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B5D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5DF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B5DF9"/>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AB5D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B5DF9"/>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7A027C"/>
    <w:pPr>
      <w:ind w:left="720"/>
      <w:contextualSpacing/>
    </w:pPr>
  </w:style>
  <w:style w:type="paragraph" w:styleId="Encabezado">
    <w:name w:val="header"/>
    <w:basedOn w:val="Normal"/>
    <w:link w:val="EncabezadoCar"/>
    <w:uiPriority w:val="99"/>
    <w:unhideWhenUsed/>
    <w:rsid w:val="004967A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967A0"/>
  </w:style>
  <w:style w:type="paragraph" w:styleId="Piedepgina">
    <w:name w:val="footer"/>
    <w:basedOn w:val="Normal"/>
    <w:link w:val="PiedepginaCar"/>
    <w:uiPriority w:val="99"/>
    <w:unhideWhenUsed/>
    <w:rsid w:val="004967A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967A0"/>
  </w:style>
  <w:style w:type="paragraph" w:styleId="Textodeglobo">
    <w:name w:val="Balloon Text"/>
    <w:basedOn w:val="Normal"/>
    <w:link w:val="TextodegloboCar"/>
    <w:uiPriority w:val="99"/>
    <w:semiHidden/>
    <w:unhideWhenUsed/>
    <w:rsid w:val="004967A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67A0"/>
    <w:rPr>
      <w:rFonts w:ascii="Tahoma" w:hAnsi="Tahoma" w:cs="Tahoma"/>
      <w:sz w:val="16"/>
      <w:szCs w:val="16"/>
    </w:rPr>
  </w:style>
  <w:style w:type="paragraph" w:styleId="Textonotaalfinal">
    <w:name w:val="endnote text"/>
    <w:basedOn w:val="Normal"/>
    <w:link w:val="TextonotaalfinalCar"/>
    <w:uiPriority w:val="99"/>
    <w:semiHidden/>
    <w:unhideWhenUsed/>
    <w:rsid w:val="004967A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967A0"/>
    <w:rPr>
      <w:sz w:val="20"/>
      <w:szCs w:val="20"/>
    </w:rPr>
  </w:style>
  <w:style w:type="character" w:styleId="Refdenotaalfinal">
    <w:name w:val="endnote reference"/>
    <w:basedOn w:val="Fuentedeprrafopredeter"/>
    <w:uiPriority w:val="99"/>
    <w:semiHidden/>
    <w:unhideWhenUsed/>
    <w:rsid w:val="004967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758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BC112C-8928-4BB3-B837-77F780FD4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3</Pages>
  <Words>608</Words>
  <Characters>3350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Nick</cp:lastModifiedBy>
  <cp:revision>9</cp:revision>
  <dcterms:created xsi:type="dcterms:W3CDTF">2019-03-28T16:28:00Z</dcterms:created>
  <dcterms:modified xsi:type="dcterms:W3CDTF">2019-05-09T14:18:00Z</dcterms:modified>
</cp:coreProperties>
</file>