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Nicoli Aguirre and Coffman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Interactive MIDI Controller &amp; Hardware Synthesizer with force-sensitive resistors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The User</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device is intended for individuals interested in music but not necessarily proficient. Ideally, the user is someone who can learn and utilize the machine to make music without any understanding of technical facets of music</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The Scenario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The device features an array of push-buttons that receive data in the form of force-sensitive resistors (hereforth called FSRs.)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user uses his/her digits to press the buttons, which trigger a corresponding amount of force in the FSRs. The FSR will transmit data to the Arduino for processing.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Once the Arduino board receives the data from the PCB, it will process the sound using the Mozzi sound library and deliver the output through small speakers. The output will be affected by rotary encoders/potentiometers and other physical controls. (Possibly an XY pad)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