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3114" w14:textId="6D2A2B5C" w:rsidR="00661045" w:rsidRPr="007C6538" w:rsidRDefault="0004008E" w:rsidP="00713EE2">
      <w:pPr>
        <w:pStyle w:val="Articletitle"/>
        <w:rPr>
          <w:lang w:val="es-MX"/>
        </w:rPr>
      </w:pPr>
      <w:r w:rsidRPr="007C6538">
        <w:rPr>
          <w:lang w:val="es-MX"/>
        </w:rPr>
        <w:t xml:space="preserve">Hedging Real Estate Equity </w:t>
      </w:r>
      <w:r w:rsidR="00856A86" w:rsidRPr="007C6538">
        <w:rPr>
          <w:lang w:val="es-MX"/>
        </w:rPr>
        <w:t>Portfolios</w:t>
      </w:r>
    </w:p>
    <w:p w14:paraId="26A89193" w14:textId="51AAF44C" w:rsidR="00442B9C" w:rsidRPr="006C6E25" w:rsidRDefault="00C11A54" w:rsidP="009914A5">
      <w:pPr>
        <w:pStyle w:val="Authornames"/>
        <w:rPr>
          <w:lang w:val="es-MX"/>
        </w:rPr>
      </w:pPr>
      <w:r w:rsidRPr="006C6E25">
        <w:rPr>
          <w:lang w:val="es-MX"/>
        </w:rPr>
        <w:t>Nicolás Cuesta Quintero</w:t>
      </w:r>
      <w:r w:rsidR="004F428E" w:rsidRPr="006C6E25">
        <w:rPr>
          <w:vertAlign w:val="superscript"/>
          <w:lang w:val="es-MX"/>
        </w:rPr>
        <w:t>a</w:t>
      </w:r>
      <w:r w:rsidR="004F428E" w:rsidRPr="006C6E25">
        <w:rPr>
          <w:lang w:val="es-MX"/>
        </w:rPr>
        <w:t xml:space="preserve">* and </w:t>
      </w:r>
      <w:r w:rsidRPr="006C6E25">
        <w:rPr>
          <w:lang w:val="es-MX"/>
        </w:rPr>
        <w:t>Carlos César Piedrahita Escobar</w:t>
      </w:r>
      <w:r w:rsidR="00E945B7" w:rsidRPr="006C6E25">
        <w:rPr>
          <w:vertAlign w:val="superscript"/>
          <w:lang w:val="es-MX"/>
        </w:rPr>
        <w:t>a</w:t>
      </w:r>
    </w:p>
    <w:p w14:paraId="2BE58EEB" w14:textId="11D8342F" w:rsidR="00997B0F" w:rsidRPr="006C6E25" w:rsidRDefault="00B64FA3" w:rsidP="00A2360E">
      <w:pPr>
        <w:pStyle w:val="Affiliation"/>
        <w:rPr>
          <w:lang w:val="es-MX"/>
        </w:rPr>
      </w:pPr>
      <w:r w:rsidRPr="006C6E25">
        <w:rPr>
          <w:vertAlign w:val="superscript"/>
          <w:lang w:val="es-MX"/>
        </w:rPr>
        <w:t>a</w:t>
      </w:r>
      <w:r w:rsidR="00E945B7" w:rsidRPr="006C6E25">
        <w:rPr>
          <w:lang w:val="es-MX"/>
        </w:rPr>
        <w:t>Faculty of Basic Sciences</w:t>
      </w:r>
      <w:r w:rsidRPr="006C6E25">
        <w:rPr>
          <w:lang w:val="es-MX"/>
        </w:rPr>
        <w:t>, Univer</w:t>
      </w:r>
      <w:r w:rsidR="00E945B7" w:rsidRPr="006C6E25">
        <w:rPr>
          <w:lang w:val="es-MX"/>
        </w:rPr>
        <w:t>sidad de Medellín</w:t>
      </w:r>
      <w:r w:rsidRPr="006C6E25">
        <w:rPr>
          <w:lang w:val="es-MX"/>
        </w:rPr>
        <w:t xml:space="preserve">, </w:t>
      </w:r>
      <w:r w:rsidR="00E945B7" w:rsidRPr="006C6E25">
        <w:rPr>
          <w:lang w:val="es-MX"/>
        </w:rPr>
        <w:t>Medellín</w:t>
      </w:r>
      <w:r w:rsidRPr="006C6E25">
        <w:rPr>
          <w:lang w:val="es-MX"/>
        </w:rPr>
        <w:t>, Co</w:t>
      </w:r>
      <w:r w:rsidR="00E945B7" w:rsidRPr="006C6E25">
        <w:rPr>
          <w:lang w:val="es-MX"/>
        </w:rPr>
        <w:t>lombia</w:t>
      </w:r>
    </w:p>
    <w:p w14:paraId="7DD0BA91" w14:textId="30BA6E4F" w:rsidR="00C14585" w:rsidRPr="00CF2A7A" w:rsidRDefault="005C056D" w:rsidP="00C11A54">
      <w:pPr>
        <w:pStyle w:val="Correspondencedetails"/>
        <w:rPr>
          <w:lang w:val="en-US"/>
        </w:rPr>
      </w:pPr>
      <w:r w:rsidRPr="00CF2A7A">
        <w:rPr>
          <w:lang w:val="en-US"/>
        </w:rPr>
        <w:t>*</w:t>
      </w:r>
      <w:r w:rsidR="009A27CA" w:rsidRPr="00CF2A7A">
        <w:rPr>
          <w:lang w:val="en-US"/>
        </w:rPr>
        <w:t>E-mail: ncuesta366@soyudemedellin.edu.co</w:t>
      </w:r>
    </w:p>
    <w:p w14:paraId="4B9244A3" w14:textId="1AFE8659" w:rsidR="00C246C5" w:rsidRDefault="00C14585" w:rsidP="009B24B5">
      <w:pPr>
        <w:pStyle w:val="Articletitle"/>
      </w:pPr>
      <w:r>
        <w:br w:type="page"/>
      </w:r>
      <w:r w:rsidR="00C11A54">
        <w:lastRenderedPageBreak/>
        <w:t xml:space="preserve">Hedging Real Estate </w:t>
      </w:r>
      <w:r w:rsidR="0004008E">
        <w:t>Equity Portfolios</w:t>
      </w:r>
    </w:p>
    <w:p w14:paraId="455FF3B6" w14:textId="48BF6CFB" w:rsidR="00266354" w:rsidRDefault="00C11A54" w:rsidP="007C6538">
      <w:pPr>
        <w:pStyle w:val="Abstract"/>
        <w:jc w:val="both"/>
      </w:pPr>
      <w:r>
        <w:t xml:space="preserve">Commercial </w:t>
      </w:r>
      <w:r w:rsidR="007C6538">
        <w:t>real estate derivatives used for hedging strategies usually have national aggregate indices as the underlying asset. In most cases, the IPD in the United Kingdom or the NPI in the United States are used as the underlying asset.</w:t>
      </w:r>
      <w:r w:rsidR="007C6538" w:rsidRPr="00711799">
        <w:t xml:space="preserve"> </w:t>
      </w:r>
      <w:r w:rsidR="007C6538">
        <w:t>This paper demonstrates that, despite the significant correlation between different property type returns or regional returns and nationwide returns, national aggregates do not constitute an appropriate underlying asset when using real estate derivates to hedge price risk in commercial real estate equity portfolios. Due to the lack of futures and options transactional data, the proof is done by estimating the basis risk of simulated derivative securities at fair market value on the NPI index, to hedge property type and regional subindexes portfolios market price processes.</w:t>
      </w:r>
    </w:p>
    <w:p w14:paraId="09077796" w14:textId="2DE4D8F6" w:rsidR="002B1B1A" w:rsidRDefault="00997B0F" w:rsidP="00C11A54">
      <w:pPr>
        <w:pStyle w:val="Keywords"/>
      </w:pPr>
      <w:r>
        <w:t xml:space="preserve">Keywords: </w:t>
      </w:r>
      <w:r w:rsidR="00C11A54">
        <w:t>real estate derivatives; basis risk; portfolio hedging</w:t>
      </w:r>
    </w:p>
    <w:p w14:paraId="753FC538" w14:textId="36BFE596" w:rsidR="007C79BA" w:rsidRDefault="00E77F75" w:rsidP="00D21C65">
      <w:pPr>
        <w:pStyle w:val="Paragraph"/>
        <w:jc w:val="both"/>
      </w:pPr>
      <w:r>
        <w:t xml:space="preserve">Hedging commercial real estate equity portfolios </w:t>
      </w:r>
      <w:r w:rsidR="009C6E08">
        <w:t xml:space="preserve">has many complexities </w:t>
      </w:r>
      <w:r w:rsidR="00686E93">
        <w:t>involved</w:t>
      </w:r>
      <w:r w:rsidR="001C73CA">
        <w:t>,</w:t>
      </w:r>
      <w:r w:rsidR="0004008E">
        <w:t xml:space="preserve"> and there is not a unique way to approach this </w:t>
      </w:r>
      <w:r w:rsidR="00803F7E">
        <w:t>challenge</w:t>
      </w:r>
      <w:r w:rsidR="0004008E">
        <w:t xml:space="preserve">. </w:t>
      </w:r>
      <w:r w:rsidR="00AC6347">
        <w:t>Although investment manager</w:t>
      </w:r>
      <w:r w:rsidR="00CE5707">
        <w:t>s</w:t>
      </w:r>
      <w:r w:rsidR="00AC6347">
        <w:t xml:space="preserve"> have </w:t>
      </w:r>
      <w:r w:rsidR="00051726">
        <w:t xml:space="preserve">organic </w:t>
      </w:r>
      <w:r w:rsidR="00CE5707">
        <w:t>t</w:t>
      </w:r>
      <w:r w:rsidR="00AC6347">
        <w:t>ools to manage their risk</w:t>
      </w:r>
      <w:r w:rsidR="005C7455">
        <w:t>s</w:t>
      </w:r>
      <w:r w:rsidR="00AC6347">
        <w:t>, such as</w:t>
      </w:r>
      <w:r w:rsidR="00351E1C">
        <w:t xml:space="preserve"> </w:t>
      </w:r>
      <w:r w:rsidR="005C7455">
        <w:t>property type</w:t>
      </w:r>
      <w:r w:rsidR="00351E1C">
        <w:t xml:space="preserve"> or </w:t>
      </w:r>
      <w:r w:rsidR="005C7455">
        <w:t>geographical</w:t>
      </w:r>
      <w:r w:rsidR="00AC6347">
        <w:t xml:space="preserve"> diversification</w:t>
      </w:r>
      <w:r w:rsidR="00470431">
        <w:t xml:space="preserve"> for systematic risk</w:t>
      </w:r>
      <w:r w:rsidR="00C51D37">
        <w:t xml:space="preserve"> and</w:t>
      </w:r>
      <w:r w:rsidR="00351E1C">
        <w:t xml:space="preserve"> </w:t>
      </w:r>
      <w:r w:rsidR="005C7455">
        <w:t xml:space="preserve">property level </w:t>
      </w:r>
      <w:r w:rsidR="00250399">
        <w:t xml:space="preserve">financial </w:t>
      </w:r>
      <w:r w:rsidR="005C7455">
        <w:t>liquidity and debt management</w:t>
      </w:r>
      <w:r w:rsidR="00470431">
        <w:t xml:space="preserve"> for property</w:t>
      </w:r>
      <w:r w:rsidR="00C51D37">
        <w:t>-</w:t>
      </w:r>
      <w:r w:rsidR="00470431">
        <w:t>specific risk</w:t>
      </w:r>
      <w:r w:rsidR="005C7455">
        <w:t>,</w:t>
      </w:r>
      <w:r w:rsidR="00250399">
        <w:t xml:space="preserve"> </w:t>
      </w:r>
      <w:r w:rsidR="004925A5">
        <w:t>there is</w:t>
      </w:r>
      <w:r w:rsidR="007E353D">
        <w:t xml:space="preserve"> still </w:t>
      </w:r>
      <w:r w:rsidR="004925A5">
        <w:t xml:space="preserve">an open exposure to </w:t>
      </w:r>
      <w:r w:rsidR="00EB12F9">
        <w:t>price</w:t>
      </w:r>
      <w:r w:rsidR="004925A5">
        <w:t xml:space="preserve"> </w:t>
      </w:r>
      <w:r w:rsidR="007E353D">
        <w:t>risk that</w:t>
      </w:r>
      <w:r w:rsidR="004925A5">
        <w:t xml:space="preserve"> cannot be </w:t>
      </w:r>
      <w:r w:rsidR="00C51D37">
        <w:t xml:space="preserve">hedge </w:t>
      </w:r>
      <w:r w:rsidR="007E353D">
        <w:t>with these tools</w:t>
      </w:r>
      <w:r w:rsidR="004925A5">
        <w:t>.</w:t>
      </w:r>
      <w:r w:rsidR="007E353D">
        <w:t xml:space="preserve"> For </w:t>
      </w:r>
      <w:r w:rsidR="005177EA">
        <w:t>instance</w:t>
      </w:r>
      <w:r w:rsidR="007E353D">
        <w:t xml:space="preserve">, </w:t>
      </w:r>
      <w:r w:rsidR="005177EA">
        <w:t xml:space="preserve">a </w:t>
      </w:r>
      <w:r w:rsidR="00E74DC0">
        <w:t>core-equity hos</w:t>
      </w:r>
      <w:r w:rsidR="009D3A22">
        <w:t xml:space="preserve">pitality private fund </w:t>
      </w:r>
      <w:r w:rsidR="00D21C65">
        <w:t xml:space="preserve">exposed to </w:t>
      </w:r>
      <w:r w:rsidR="00825F10">
        <w:t xml:space="preserve">high </w:t>
      </w:r>
      <w:r w:rsidR="00CE148E">
        <w:t xml:space="preserve">room </w:t>
      </w:r>
      <w:r w:rsidR="00825F10">
        <w:t>vacancy and low average daily rates</w:t>
      </w:r>
      <w:r w:rsidR="00CE148E">
        <w:t xml:space="preserve"> due to an economic recession</w:t>
      </w:r>
      <w:r w:rsidR="005D2837">
        <w:t xml:space="preserve"> (as seen with the recent COVID-19 pandemic)</w:t>
      </w:r>
      <w:r w:rsidR="007F1045">
        <w:t>, has limited organic tools to hedge system</w:t>
      </w:r>
      <w:r w:rsidR="00EB12F9">
        <w:t>at</w:t>
      </w:r>
      <w:r w:rsidR="007F1045">
        <w:t>ic risk</w:t>
      </w:r>
      <w:r w:rsidR="00AA7CF0">
        <w:t>. D</w:t>
      </w:r>
      <w:r w:rsidR="00612386">
        <w:t xml:space="preserve">iversifying with other asset classes requires </w:t>
      </w:r>
      <w:r w:rsidR="00AA7CF0">
        <w:t>vast</w:t>
      </w:r>
      <w:r w:rsidR="00612386">
        <w:t xml:space="preserve"> amounts of capital (and changing the </w:t>
      </w:r>
      <w:r w:rsidR="007E3DA0">
        <w:t>portfolio strategy), while selling the asset</w:t>
      </w:r>
      <w:r w:rsidR="003C2FDB">
        <w:t>s</w:t>
      </w:r>
      <w:r w:rsidR="007E3DA0">
        <w:t xml:space="preserve"> to </w:t>
      </w:r>
      <w:r w:rsidR="00AA7CF0">
        <w:t>repurchase them</w:t>
      </w:r>
      <w:r w:rsidR="005C4EC2">
        <w:t xml:space="preserve"> </w:t>
      </w:r>
      <w:r w:rsidR="007E3DA0">
        <w:t xml:space="preserve">after the crisis implies a lot of </w:t>
      </w:r>
      <w:r w:rsidR="005C4EC2">
        <w:t xml:space="preserve">transactional </w:t>
      </w:r>
      <w:r w:rsidR="007E3DA0">
        <w:t xml:space="preserve">costs that may </w:t>
      </w:r>
      <w:r w:rsidR="00F51CAC">
        <w:t>wipe out</w:t>
      </w:r>
      <w:r w:rsidR="00D14E0E">
        <w:t xml:space="preserve"> any profits. Therefore, the portfolio</w:t>
      </w:r>
      <w:r w:rsidR="005C4EC2">
        <w:t xml:space="preserve"> or asset</w:t>
      </w:r>
      <w:r w:rsidR="00550E5A">
        <w:t xml:space="preserve"> manager</w:t>
      </w:r>
      <w:r w:rsidR="007F1045">
        <w:t xml:space="preserve"> would </w:t>
      </w:r>
      <w:r w:rsidR="005B64FB">
        <w:t>have to assume losses while the</w:t>
      </w:r>
      <w:r w:rsidR="00EB12F9">
        <w:t xml:space="preserve"> negative</w:t>
      </w:r>
      <w:r w:rsidR="00AA7CF0">
        <w:t xml:space="preserve"> macroeconomic</w:t>
      </w:r>
      <w:r w:rsidR="005B64FB">
        <w:t xml:space="preserve"> </w:t>
      </w:r>
      <w:r w:rsidR="00AA7CF0">
        <w:t>turmoil</w:t>
      </w:r>
      <w:r w:rsidR="005B64FB">
        <w:t xml:space="preserve"> vanishes</w:t>
      </w:r>
      <w:r w:rsidR="009641BC">
        <w:t xml:space="preserve">. </w:t>
      </w:r>
      <w:r w:rsidR="000B0808">
        <w:t>This stress scenario has strong implications in compensation and shows fragility in the real estate private equity business.</w:t>
      </w:r>
    </w:p>
    <w:p w14:paraId="55ED1C06" w14:textId="3AD91A92" w:rsidR="00F51CAC" w:rsidRDefault="00F51CAC" w:rsidP="009A507B">
      <w:pPr>
        <w:pStyle w:val="Newparagraph"/>
        <w:jc w:val="both"/>
      </w:pPr>
      <w:r>
        <w:lastRenderedPageBreak/>
        <w:t xml:space="preserve">A </w:t>
      </w:r>
      <w:r w:rsidR="00550E5A">
        <w:t xml:space="preserve">sound </w:t>
      </w:r>
      <w:r>
        <w:t>alternative</w:t>
      </w:r>
      <w:r w:rsidR="00550E5A">
        <w:t xml:space="preserve"> would be to take a short position on</w:t>
      </w:r>
      <w:r w:rsidR="00183C72">
        <w:t xml:space="preserve"> a similar</w:t>
      </w:r>
      <w:r w:rsidR="00550E5A">
        <w:t xml:space="preserve"> real estate</w:t>
      </w:r>
      <w:r w:rsidR="00183C72">
        <w:t xml:space="preserve"> portfolio, but this is not possible in private</w:t>
      </w:r>
      <w:r w:rsidR="004E02FE">
        <w:t xml:space="preserve"> (incomplete)</w:t>
      </w:r>
      <w:r w:rsidR="00183C72">
        <w:t xml:space="preserve"> market</w:t>
      </w:r>
      <w:r w:rsidR="009A507B">
        <w:t>s</w:t>
      </w:r>
      <w:r w:rsidR="00F447D6">
        <w:t>,</w:t>
      </w:r>
      <w:r w:rsidR="00CC01E5">
        <w:t xml:space="preserve"> and public markets are </w:t>
      </w:r>
      <w:r w:rsidR="009A507B">
        <w:t>constrained</w:t>
      </w:r>
      <w:r w:rsidR="00CC01E5">
        <w:t xml:space="preserve"> due to liquidity problems</w:t>
      </w:r>
      <w:r w:rsidR="006A3800">
        <w:t xml:space="preserve"> </w:t>
      </w:r>
      <w:sdt>
        <w:sdtPr>
          <w:id w:val="1162126474"/>
          <w:citation/>
        </w:sdtPr>
        <w:sdtEndPr/>
        <w:sdtContent>
          <w:r w:rsidR="00245AB9">
            <w:fldChar w:fldCharType="begin"/>
          </w:r>
          <w:r w:rsidR="00245AB9">
            <w:rPr>
              <w:lang w:val="en-US"/>
            </w:rPr>
            <w:instrText xml:space="preserve"> CITATION Ber05 \l 1033 </w:instrText>
          </w:r>
          <w:r w:rsidR="00245AB9">
            <w:fldChar w:fldCharType="separate"/>
          </w:r>
          <w:r w:rsidR="00A9403C">
            <w:rPr>
              <w:noProof/>
              <w:lang w:val="en-US"/>
            </w:rPr>
            <w:t>(Bertin, Kofman, Michayluk, &amp; Prather, 2005)</w:t>
          </w:r>
          <w:r w:rsidR="00245AB9">
            <w:fldChar w:fldCharType="end"/>
          </w:r>
        </w:sdtContent>
      </w:sdt>
      <w:r w:rsidR="009B0751">
        <w:t>,</w:t>
      </w:r>
      <w:r w:rsidR="006A3800">
        <w:t xml:space="preserve"> i.e</w:t>
      </w:r>
      <w:r w:rsidR="009B0751">
        <w:t>.</w:t>
      </w:r>
      <w:r w:rsidR="00C851D8">
        <w:t>,</w:t>
      </w:r>
      <w:r w:rsidR="006A3800">
        <w:t xml:space="preserve"> short positions would affect prices </w:t>
      </w:r>
      <w:r w:rsidR="008867C9">
        <w:t xml:space="preserve">rapidly making the hedge inefficient and REITs high dividend yield policy would be </w:t>
      </w:r>
      <w:r w:rsidR="007B7504">
        <w:t>affected by system</w:t>
      </w:r>
      <w:r w:rsidR="00EB12F9">
        <w:t>at</w:t>
      </w:r>
      <w:r w:rsidR="007B7504">
        <w:t>ic risks as well</w:t>
      </w:r>
      <w:r w:rsidR="00CC01E5">
        <w:t>.</w:t>
      </w:r>
      <w:r>
        <w:t xml:space="preserve"> </w:t>
      </w:r>
      <w:r w:rsidR="006B5A53">
        <w:t xml:space="preserve">A good </w:t>
      </w:r>
      <w:r w:rsidR="00F87974">
        <w:t>substitute</w:t>
      </w:r>
      <w:r w:rsidR="006B5A53">
        <w:t xml:space="preserve"> that </w:t>
      </w:r>
      <w:r w:rsidR="0055026B">
        <w:t>academics have</w:t>
      </w:r>
      <w:r w:rsidR="006B5A53">
        <w:t xml:space="preserve"> widely proposed</w:t>
      </w:r>
      <w:r w:rsidR="002C3985">
        <w:t xml:space="preserve"> </w:t>
      </w:r>
      <w:r w:rsidR="007F1E51">
        <w:t xml:space="preserve">- </w:t>
      </w:r>
      <w:r w:rsidR="002C3985">
        <w:t xml:space="preserve">see for example </w:t>
      </w:r>
      <w:sdt>
        <w:sdtPr>
          <w:id w:val="-625997239"/>
          <w:citation/>
        </w:sdtPr>
        <w:sdtEndPr/>
        <w:sdtContent>
          <w:r w:rsidR="002C3985">
            <w:fldChar w:fldCharType="begin"/>
          </w:r>
          <w:r w:rsidR="002C3985">
            <w:rPr>
              <w:lang w:val="en-US"/>
            </w:rPr>
            <w:instrText xml:space="preserve"> CITATION Fab20 \l 1033 </w:instrText>
          </w:r>
          <w:r w:rsidR="002C3985">
            <w:fldChar w:fldCharType="separate"/>
          </w:r>
          <w:r w:rsidR="00A9403C">
            <w:rPr>
              <w:noProof/>
              <w:lang w:val="en-US"/>
            </w:rPr>
            <w:t>(Fabozzi, Shiller, &amp; Tunaru, A 30-Year Perspective on Property Derivatives: What Can Be Done to Tame Property Price Risk?, 2020)</w:t>
          </w:r>
          <w:r w:rsidR="002C3985">
            <w:fldChar w:fldCharType="end"/>
          </w:r>
        </w:sdtContent>
      </w:sdt>
      <w:r w:rsidR="007F1E51">
        <w:t xml:space="preserve"> -</w:t>
      </w:r>
      <w:r w:rsidR="002C3985">
        <w:t xml:space="preserve"> is </w:t>
      </w:r>
      <w:r w:rsidR="00E52980">
        <w:t>the use of real estate derivatives like futures</w:t>
      </w:r>
      <w:r w:rsidR="00B95227">
        <w:t xml:space="preserve"> or forwards</w:t>
      </w:r>
      <w:r w:rsidR="00E52980">
        <w:t xml:space="preserve">, plain vanilla options </w:t>
      </w:r>
      <w:r w:rsidR="00B95227">
        <w:t>and</w:t>
      </w:r>
      <w:r w:rsidR="00E52980">
        <w:t xml:space="preserve"> </w:t>
      </w:r>
      <w:r w:rsidR="002D6ECC">
        <w:t xml:space="preserve">total </w:t>
      </w:r>
      <w:r w:rsidR="00E52980">
        <w:t>return swaps</w:t>
      </w:r>
      <w:r w:rsidR="005F56C1">
        <w:t xml:space="preserve">, with </w:t>
      </w:r>
      <w:r w:rsidR="002D6ECC">
        <w:t>price indices as underlying assets</w:t>
      </w:r>
      <w:r w:rsidR="005F56C1">
        <w:t>, to hedge the real estate portfolio</w:t>
      </w:r>
      <w:r w:rsidR="002D6ECC">
        <w:t xml:space="preserve">. </w:t>
      </w:r>
      <w:r w:rsidR="00851B8B">
        <w:t>These derivatives have been used since the 1990’s</w:t>
      </w:r>
      <w:r w:rsidR="00DD0A0B">
        <w:t xml:space="preserve"> and are </w:t>
      </w:r>
      <w:r w:rsidR="00F447D6">
        <w:t>commonly</w:t>
      </w:r>
      <w:r w:rsidR="00851B8B">
        <w:t xml:space="preserve"> written on</w:t>
      </w:r>
      <w:r w:rsidR="00F447D6">
        <w:t xml:space="preserve"> the IPD in the United Kingdom and </w:t>
      </w:r>
      <w:r w:rsidR="00851B8B">
        <w:t xml:space="preserve">on </w:t>
      </w:r>
      <w:r w:rsidR="00F447D6">
        <w:t xml:space="preserve">the NPI in the </w:t>
      </w:r>
      <w:r w:rsidR="001E6B13">
        <w:t>United States.</w:t>
      </w:r>
      <w:r w:rsidR="004754B1">
        <w:t xml:space="preserve"> The latter since 2006.</w:t>
      </w:r>
    </w:p>
    <w:p w14:paraId="142DCE32" w14:textId="3CFCF31A" w:rsidR="00771AAD" w:rsidRDefault="00680969" w:rsidP="001E7A63">
      <w:pPr>
        <w:pStyle w:val="Newparagraph"/>
        <w:jc w:val="both"/>
      </w:pPr>
      <w:r>
        <w:t>However</w:t>
      </w:r>
      <w:r w:rsidR="004517CB">
        <w:t xml:space="preserve">, real estate derivatives lack of liquidity </w:t>
      </w:r>
      <w:r w:rsidR="001462A5">
        <w:t>and volume.</w:t>
      </w:r>
      <w:r w:rsidR="000F48CC">
        <w:t xml:space="preserve"> Even though exchange</w:t>
      </w:r>
      <w:r w:rsidR="0055026B">
        <w:t>-</w:t>
      </w:r>
      <w:r w:rsidR="000F48CC">
        <w:t>traded residential real estate derivatives</w:t>
      </w:r>
      <w:r w:rsidR="0055026B">
        <w:t xml:space="preserve"> exist</w:t>
      </w:r>
      <w:r w:rsidR="000F48CC">
        <w:t>, like the Case-Shiller</w:t>
      </w:r>
      <w:r w:rsidR="00565C0B">
        <w:t xml:space="preserve"> Index futures traded at CME, c</w:t>
      </w:r>
      <w:r w:rsidR="00F4680F">
        <w:t>ommercial real estate derivatives</w:t>
      </w:r>
      <w:r w:rsidR="00565C0B">
        <w:t xml:space="preserve"> are mostly</w:t>
      </w:r>
      <w:r w:rsidR="00F4680F">
        <w:t xml:space="preserve"> traded </w:t>
      </w:r>
      <w:r w:rsidR="004517CB">
        <w:t>OTC with no exchange alternatives</w:t>
      </w:r>
      <w:r w:rsidR="00FB605D">
        <w:t xml:space="preserve"> in the US</w:t>
      </w:r>
      <w:r w:rsidR="004517CB">
        <w:t xml:space="preserve">. </w:t>
      </w:r>
      <w:r w:rsidR="00195397">
        <w:t>There are multiple plausible reasons why the latter derivatives have no</w:t>
      </w:r>
      <w:r w:rsidR="00496CC4">
        <w:t>t enough deepness in the market.</w:t>
      </w:r>
      <w:r w:rsidR="00632ECF">
        <w:t xml:space="preserve"> </w:t>
      </w:r>
      <w:r w:rsidR="00920408">
        <w:t xml:space="preserve">One interesting study performed by </w:t>
      </w:r>
      <w:sdt>
        <w:sdtPr>
          <w:id w:val="754944377"/>
          <w:citation/>
        </w:sdtPr>
        <w:sdtEndPr/>
        <w:sdtContent>
          <w:r w:rsidR="00920408">
            <w:fldChar w:fldCharType="begin"/>
          </w:r>
          <w:r w:rsidR="00920408">
            <w:rPr>
              <w:lang w:val="en-US"/>
            </w:rPr>
            <w:instrText xml:space="preserve"> CITATION Yoo06 \l 1033 </w:instrText>
          </w:r>
          <w:r w:rsidR="00920408">
            <w:fldChar w:fldCharType="separate"/>
          </w:r>
          <w:r w:rsidR="00A9403C">
            <w:rPr>
              <w:noProof/>
              <w:lang w:val="en-US"/>
            </w:rPr>
            <w:t>(Yoon Lim &amp; Zhang, 2006)</w:t>
          </w:r>
          <w:r w:rsidR="00920408">
            <w:fldChar w:fldCharType="end"/>
          </w:r>
        </w:sdtContent>
      </w:sdt>
      <w:r w:rsidR="00920408">
        <w:t xml:space="preserve"> interviewed </w:t>
      </w:r>
      <w:r w:rsidR="00685C1B">
        <w:t>investment</w:t>
      </w:r>
      <w:r w:rsidR="00920408">
        <w:t xml:space="preserve"> managers</w:t>
      </w:r>
      <w:r w:rsidR="00685C1B">
        <w:t xml:space="preserve"> and other investor</w:t>
      </w:r>
      <w:r w:rsidR="00CB4066">
        <w:t>s</w:t>
      </w:r>
      <w:r w:rsidR="00B60136">
        <w:t xml:space="preserve"> on the</w:t>
      </w:r>
      <w:r w:rsidR="00481B83">
        <w:t>ir</w:t>
      </w:r>
      <w:r w:rsidR="00B60136">
        <w:t xml:space="preserve"> use of real estate derivatives. Although the usefulness </w:t>
      </w:r>
      <w:r w:rsidR="00211C84">
        <w:t xml:space="preserve">for hedging purposes </w:t>
      </w:r>
      <w:r w:rsidR="00B60136">
        <w:t>of th</w:t>
      </w:r>
      <w:r w:rsidR="003831D2">
        <w:t>e</w:t>
      </w:r>
      <w:r w:rsidR="00B60136">
        <w:t>s</w:t>
      </w:r>
      <w:r w:rsidR="003831D2">
        <w:t>e</w:t>
      </w:r>
      <w:r w:rsidR="00B60136">
        <w:t xml:space="preserve"> financial </w:t>
      </w:r>
      <w:r w:rsidR="002E1F73">
        <w:t xml:space="preserve">products was recognized by most of them, </w:t>
      </w:r>
      <w:r w:rsidR="003831D2">
        <w:t xml:space="preserve">they were cautious </w:t>
      </w:r>
      <w:r w:rsidR="00CB4066">
        <w:t>about</w:t>
      </w:r>
      <w:r w:rsidR="003831D2">
        <w:t xml:space="preserve"> using them b</w:t>
      </w:r>
      <w:r w:rsidR="00481B83">
        <w:t>ecause of</w:t>
      </w:r>
      <w:r w:rsidR="003831D2">
        <w:t xml:space="preserve"> their lack of liquidity, the </w:t>
      </w:r>
      <w:r w:rsidR="00A3404A">
        <w:t>lack of dealers in the marketplace</w:t>
      </w:r>
      <w:r w:rsidR="00CB4066">
        <w:t>,</w:t>
      </w:r>
      <w:r w:rsidR="00A3404A">
        <w:t xml:space="preserve"> and their lack of knowledge on how to price them.</w:t>
      </w:r>
      <w:r w:rsidR="003831D2">
        <w:t xml:space="preserve"> </w:t>
      </w:r>
      <w:r w:rsidR="00496CC4">
        <w:t xml:space="preserve"> </w:t>
      </w:r>
      <w:r w:rsidR="005E5BDE">
        <w:t>Even more, they recognized the importance of using regional property price indices rather than just nation-wide indices.</w:t>
      </w:r>
      <w:r w:rsidR="00195397">
        <w:t xml:space="preserve"> </w:t>
      </w:r>
    </w:p>
    <w:p w14:paraId="2C1470FA" w14:textId="12478EA3" w:rsidR="000A2C54" w:rsidRDefault="003B4B7F" w:rsidP="00801CE2">
      <w:pPr>
        <w:pStyle w:val="Paragraph"/>
        <w:ind w:firstLine="720"/>
        <w:jc w:val="both"/>
      </w:pPr>
      <w:r>
        <w:t>Therefore, real</w:t>
      </w:r>
      <w:r w:rsidR="00023DD2">
        <w:t xml:space="preserve"> estate derivatives </w:t>
      </w:r>
      <w:r w:rsidR="007C12A0">
        <w:t>seem</w:t>
      </w:r>
      <w:r w:rsidR="00211C84">
        <w:t xml:space="preserve"> to </w:t>
      </w:r>
      <w:r w:rsidR="00C23B7C">
        <w:t xml:space="preserve">fill </w:t>
      </w:r>
      <w:r w:rsidR="00211C84">
        <w:t xml:space="preserve">an </w:t>
      </w:r>
      <w:r w:rsidR="00C23B7C">
        <w:t>essential gap</w:t>
      </w:r>
      <w:r w:rsidR="00211C84">
        <w:t xml:space="preserve"> in the </w:t>
      </w:r>
      <w:r w:rsidR="007C12A0">
        <w:t xml:space="preserve">real estate public </w:t>
      </w:r>
      <w:r w:rsidR="00E55F38">
        <w:t xml:space="preserve">and </w:t>
      </w:r>
      <w:r w:rsidR="007C12A0">
        <w:t>private equity market</w:t>
      </w:r>
      <w:r w:rsidR="001477CB">
        <w:t>s</w:t>
      </w:r>
      <w:r w:rsidR="007C12A0">
        <w:t xml:space="preserve">. They </w:t>
      </w:r>
      <w:r w:rsidR="008F4326">
        <w:t xml:space="preserve">constitute the financial engineering </w:t>
      </w:r>
      <w:r w:rsidR="007C12A0">
        <w:t xml:space="preserve">approach to </w:t>
      </w:r>
      <w:r w:rsidR="007C12A0">
        <w:lastRenderedPageBreak/>
        <w:t>hedge system</w:t>
      </w:r>
      <w:r w:rsidR="00EB12F9">
        <w:t>at</w:t>
      </w:r>
      <w:r w:rsidR="007C12A0">
        <w:t>ic risks</w:t>
      </w:r>
      <w:r w:rsidR="008F4326">
        <w:t xml:space="preserve"> given that the natural way of hedging </w:t>
      </w:r>
      <w:r w:rsidR="00564E30">
        <w:t>this asset class is idiosyncratic or</w:t>
      </w:r>
      <w:r w:rsidR="008F4326">
        <w:t xml:space="preserve"> </w:t>
      </w:r>
      <w:r w:rsidR="00EF32E0">
        <w:t>face many</w:t>
      </w:r>
      <w:r w:rsidR="001477CB">
        <w:t xml:space="preserve"> constraints</w:t>
      </w:r>
      <w:r w:rsidR="00EF32E0">
        <w:t xml:space="preserve"> </w:t>
      </w:r>
      <w:r w:rsidR="00E55F38">
        <w:t>on th</w:t>
      </w:r>
      <w:r w:rsidR="00425A6A">
        <w:t>e</w:t>
      </w:r>
      <w:r w:rsidR="00E55F38">
        <w:t xml:space="preserve"> </w:t>
      </w:r>
      <w:r w:rsidR="00425A6A">
        <w:t xml:space="preserve">real estate equity </w:t>
      </w:r>
      <w:r w:rsidR="00E55F38">
        <w:t>market</w:t>
      </w:r>
      <w:r w:rsidR="00333741">
        <w:t>s</w:t>
      </w:r>
      <w:r w:rsidR="00E55F38">
        <w:t>.</w:t>
      </w:r>
      <w:r w:rsidR="00741419">
        <w:t xml:space="preserve"> However, inefficiencies and the lack of an </w:t>
      </w:r>
      <w:r w:rsidR="00425A6A">
        <w:t>standard</w:t>
      </w:r>
      <w:r w:rsidR="00605E04">
        <w:t>ize methodology to price th</w:t>
      </w:r>
      <w:r w:rsidR="00C3720D">
        <w:t>ese</w:t>
      </w:r>
      <w:r w:rsidR="00605E04">
        <w:t xml:space="preserve"> </w:t>
      </w:r>
      <w:r w:rsidR="00C3720D">
        <w:t xml:space="preserve">derivatives limit their growth in </w:t>
      </w:r>
      <w:r w:rsidR="00325418">
        <w:t>financial</w:t>
      </w:r>
      <w:r w:rsidR="00605E04">
        <w:t xml:space="preserve"> </w:t>
      </w:r>
      <w:r w:rsidR="00325418">
        <w:t xml:space="preserve">markets. </w:t>
      </w:r>
      <w:r w:rsidR="00234548">
        <w:t>This</w:t>
      </w:r>
      <w:r w:rsidR="00325418">
        <w:t xml:space="preserve"> paper </w:t>
      </w:r>
      <w:r w:rsidR="006E0C79">
        <w:t>contributes</w:t>
      </w:r>
      <w:r w:rsidR="00C27997">
        <w:t xml:space="preserve"> </w:t>
      </w:r>
      <w:r w:rsidR="009A3D30">
        <w:t xml:space="preserve">to the academic effort of </w:t>
      </w:r>
      <w:r w:rsidR="00F059F3">
        <w:t xml:space="preserve">creating a </w:t>
      </w:r>
      <w:r w:rsidR="00F37292">
        <w:t xml:space="preserve">practical </w:t>
      </w:r>
      <w:r w:rsidR="00F059F3">
        <w:t>framework of structuring and pricing real estate derivatives, based on</w:t>
      </w:r>
      <w:r w:rsidR="00F1215A">
        <w:t xml:space="preserve"> a</w:t>
      </w:r>
      <w:r w:rsidR="007C12A0">
        <w:t xml:space="preserve"> </w:t>
      </w:r>
      <w:r w:rsidR="00F1215A">
        <w:t xml:space="preserve">pragmatic view of how to use them for hedging purposes. </w:t>
      </w:r>
      <w:r w:rsidR="008C2A60">
        <w:t xml:space="preserve">It shows that nationwide </w:t>
      </w:r>
      <w:r w:rsidR="00046CCE">
        <w:t xml:space="preserve">appraisal-based </w:t>
      </w:r>
      <w:r w:rsidR="008C2A60">
        <w:t xml:space="preserve">indices, although highly correlated with specific property type or regional indices, </w:t>
      </w:r>
      <w:r w:rsidR="009828D3">
        <w:t xml:space="preserve">do not constitute a good hedge in the sense that basis risk is not </w:t>
      </w:r>
      <w:r w:rsidR="00E0194A">
        <w:t>properly</w:t>
      </w:r>
      <w:r w:rsidR="009828D3">
        <w:t xml:space="preserve"> </w:t>
      </w:r>
      <w:r w:rsidR="00B55829">
        <w:t>covered</w:t>
      </w:r>
      <w:r w:rsidR="00536613">
        <w:t>.</w:t>
      </w:r>
    </w:p>
    <w:p w14:paraId="38D9E42D" w14:textId="6B59AAFB" w:rsidR="00023DD2" w:rsidRPr="00F51CAC" w:rsidRDefault="000B6380" w:rsidP="00801CE2">
      <w:pPr>
        <w:pStyle w:val="Paragraph"/>
        <w:ind w:firstLine="720"/>
        <w:jc w:val="both"/>
      </w:pPr>
      <w:r>
        <w:t>In consequence, t</w:t>
      </w:r>
      <w:r w:rsidR="00790537">
        <w:t xml:space="preserve">he following section presents a review of related literature on </w:t>
      </w:r>
      <w:r w:rsidR="00BF4774">
        <w:t xml:space="preserve">the different frameworks of real estate pricing, as well as their use for hedging real estate equity portfolios. </w:t>
      </w:r>
      <w:r w:rsidR="00FA05F5">
        <w:t>T</w:t>
      </w:r>
      <w:r w:rsidR="00AC2FB3">
        <w:t>he</w:t>
      </w:r>
      <w:r w:rsidR="00812769">
        <w:t>n</w:t>
      </w:r>
      <w:r w:rsidR="00FA05F5">
        <w:t>,</w:t>
      </w:r>
      <w:r w:rsidR="008874CF">
        <w:t xml:space="preserve"> the methodolo</w:t>
      </w:r>
      <w:r w:rsidR="00817376">
        <w:t xml:space="preserve">gy for measuring basis risk, </w:t>
      </w:r>
      <w:r w:rsidR="000A2C54">
        <w:t xml:space="preserve">how to </w:t>
      </w:r>
      <w:r w:rsidR="00817376">
        <w:t>determine whether</w:t>
      </w:r>
      <w:r w:rsidR="00FB4D88">
        <w:t xml:space="preserve"> a real estate equity portfolio</w:t>
      </w:r>
      <w:r w:rsidR="00817376">
        <w:t xml:space="preserve"> is </w:t>
      </w:r>
      <w:r w:rsidR="007C11C5">
        <w:t xml:space="preserve">properly </w:t>
      </w:r>
      <w:r w:rsidR="00077080">
        <w:t>hedg</w:t>
      </w:r>
      <w:r w:rsidR="00FA05F5">
        <w:t xml:space="preserve">ed </w:t>
      </w:r>
      <w:r w:rsidR="00077080">
        <w:t>or not</w:t>
      </w:r>
      <w:r w:rsidR="00FA05F5">
        <w:t xml:space="preserve"> by real estate derivatives</w:t>
      </w:r>
      <w:r w:rsidR="00077080">
        <w:t>,</w:t>
      </w:r>
      <w:r w:rsidR="00817376">
        <w:t xml:space="preserve"> and</w:t>
      </w:r>
      <w:r w:rsidR="00077080">
        <w:t xml:space="preserve"> </w:t>
      </w:r>
      <w:r w:rsidR="000A2C54">
        <w:t>a description of B</w:t>
      </w:r>
      <w:r w:rsidR="003C7C6E">
        <w:t>FSP</w:t>
      </w:r>
      <w:r w:rsidR="00077080">
        <w:t xml:space="preserve"> model for</w:t>
      </w:r>
      <w:r w:rsidR="00817376">
        <w:t xml:space="preserve"> pricing </w:t>
      </w:r>
      <w:r w:rsidR="00C166DC">
        <w:t xml:space="preserve">futures and </w:t>
      </w:r>
      <w:r w:rsidR="00817376">
        <w:t xml:space="preserve">plain vanilla </w:t>
      </w:r>
      <w:r w:rsidR="00C166DC">
        <w:t xml:space="preserve">put </w:t>
      </w:r>
      <w:r w:rsidR="00817376">
        <w:t xml:space="preserve">options </w:t>
      </w:r>
      <w:r w:rsidR="00264178">
        <w:t xml:space="preserve">and simulate efficient market price processes for the underlying portfolios </w:t>
      </w:r>
      <w:r w:rsidR="00FA05F5">
        <w:t>are</w:t>
      </w:r>
      <w:r w:rsidR="00817376">
        <w:t xml:space="preserve"> thoroughly described.</w:t>
      </w:r>
      <w:r w:rsidR="00C166DC">
        <w:t xml:space="preserve"> </w:t>
      </w:r>
      <w:r w:rsidR="00077080">
        <w:t xml:space="preserve">In the third </w:t>
      </w:r>
      <w:r w:rsidR="00264178">
        <w:t>section</w:t>
      </w:r>
      <w:r w:rsidR="007C11C5">
        <w:t xml:space="preserve"> </w:t>
      </w:r>
      <w:r w:rsidR="00077080">
        <w:t xml:space="preserve">the data used for the empirical study is described, which </w:t>
      </w:r>
      <w:r w:rsidR="00675AF4">
        <w:t xml:space="preserve">in summary </w:t>
      </w:r>
      <w:r w:rsidR="00C70706">
        <w:t>constitute</w:t>
      </w:r>
      <w:r w:rsidR="00334E74">
        <w:t>s</w:t>
      </w:r>
      <w:r w:rsidR="00C70706">
        <w:t xml:space="preserve"> </w:t>
      </w:r>
      <w:r w:rsidR="00077080">
        <w:t>NCREIF NPI and</w:t>
      </w:r>
      <w:r w:rsidR="00334E74">
        <w:t xml:space="preserve"> property type and regional</w:t>
      </w:r>
      <w:r w:rsidR="006F5361">
        <w:t xml:space="preserve"> </w:t>
      </w:r>
      <w:r w:rsidR="00C25F96">
        <w:t>subindexes</w:t>
      </w:r>
      <w:r w:rsidR="00077080">
        <w:t>. The results and conclusions are presented in the two f</w:t>
      </w:r>
      <w:r w:rsidR="0033161D">
        <w:t>inal</w:t>
      </w:r>
      <w:r w:rsidR="00077080">
        <w:t xml:space="preserve"> sections.</w:t>
      </w:r>
    </w:p>
    <w:p w14:paraId="5FFCBD23" w14:textId="0466C2AB" w:rsidR="002441ED" w:rsidRDefault="00255327" w:rsidP="002441ED">
      <w:pPr>
        <w:pStyle w:val="Heading1"/>
      </w:pPr>
      <w:r>
        <w:t>Literature</w:t>
      </w:r>
      <w:r w:rsidR="004614DB">
        <w:t xml:space="preserve"> review</w:t>
      </w:r>
    </w:p>
    <w:p w14:paraId="4C650C98" w14:textId="2613AE20" w:rsidR="00B8054E" w:rsidRDefault="00E31533" w:rsidP="00AD790B">
      <w:pPr>
        <w:pStyle w:val="Paragraph"/>
        <w:jc w:val="both"/>
      </w:pPr>
      <w:r>
        <w:t xml:space="preserve">The 1970’s can be seen as the birth </w:t>
      </w:r>
      <w:r w:rsidR="00652FE2">
        <w:t xml:space="preserve">year </w:t>
      </w:r>
      <w:r>
        <w:t>of financial engineering</w:t>
      </w:r>
      <w:r w:rsidR="00C523EE">
        <w:t xml:space="preserve">. </w:t>
      </w:r>
      <w:r w:rsidR="00A40401">
        <w:t>In</w:t>
      </w:r>
      <w:r w:rsidR="0027030A">
        <w:t xml:space="preserve"> 1973 options moved from </w:t>
      </w:r>
      <w:r w:rsidR="00A40401">
        <w:t xml:space="preserve">let alone </w:t>
      </w:r>
      <w:r w:rsidR="0027030A">
        <w:t>over</w:t>
      </w:r>
      <w:r w:rsidR="00A40401">
        <w:t>-the-counter negotiations to be formally traded in an exchange. The same year</w:t>
      </w:r>
      <w:r w:rsidR="00974E69">
        <w:t xml:space="preserve"> Black and Schole</w:t>
      </w:r>
      <w:r w:rsidR="000A12C6">
        <w:t>s published the first options pricing model</w:t>
      </w:r>
      <w:r w:rsidR="00A40401">
        <w:t xml:space="preserve"> </w:t>
      </w:r>
      <w:sdt>
        <w:sdtPr>
          <w:id w:val="415369001"/>
          <w:citation/>
        </w:sdtPr>
        <w:sdtEndPr/>
        <w:sdtContent>
          <w:r w:rsidR="000A12C6">
            <w:fldChar w:fldCharType="begin"/>
          </w:r>
          <w:r w:rsidR="000A12C6">
            <w:rPr>
              <w:lang w:val="en-US"/>
            </w:rPr>
            <w:instrText xml:space="preserve"> CITATION Fis73 \l 1033 </w:instrText>
          </w:r>
          <w:r w:rsidR="000A12C6">
            <w:fldChar w:fldCharType="separate"/>
          </w:r>
          <w:r w:rsidR="00A9403C">
            <w:rPr>
              <w:noProof/>
              <w:lang w:val="en-US"/>
            </w:rPr>
            <w:t>(Fischer &amp; Scholes, 1973)</w:t>
          </w:r>
          <w:r w:rsidR="000A12C6">
            <w:fldChar w:fldCharType="end"/>
          </w:r>
        </w:sdtContent>
      </w:sdt>
      <w:r w:rsidR="001B2374">
        <w:t xml:space="preserve">, creating the </w:t>
      </w:r>
      <w:r w:rsidR="00E66438">
        <w:t>no-</w:t>
      </w:r>
      <w:r w:rsidR="001B2374">
        <w:t xml:space="preserve">arbitrage </w:t>
      </w:r>
      <w:r w:rsidR="00E66438">
        <w:t>framework,</w:t>
      </w:r>
      <w:r w:rsidR="001B701E">
        <w:t xml:space="preserve"> which was</w:t>
      </w:r>
      <w:r w:rsidR="004B489C">
        <w:t xml:space="preserve"> </w:t>
      </w:r>
      <w:r w:rsidR="00E66438">
        <w:t>extended</w:t>
      </w:r>
      <w:r w:rsidR="004B489C">
        <w:t xml:space="preserve"> by</w:t>
      </w:r>
      <w:r w:rsidR="00E66438">
        <w:t xml:space="preserve"> Robert Merton the same year </w:t>
      </w:r>
      <w:sdt>
        <w:sdtPr>
          <w:id w:val="-1915164894"/>
          <w:citation/>
        </w:sdtPr>
        <w:sdtEndPr/>
        <w:sdtContent>
          <w:r w:rsidR="00E66438">
            <w:fldChar w:fldCharType="begin"/>
          </w:r>
          <w:r w:rsidR="00E66438">
            <w:rPr>
              <w:lang w:val="en-US"/>
            </w:rPr>
            <w:instrText xml:space="preserve"> CITATION Mer73 \l 1033 </w:instrText>
          </w:r>
          <w:r w:rsidR="00E66438">
            <w:fldChar w:fldCharType="separate"/>
          </w:r>
          <w:r w:rsidR="00A9403C">
            <w:rPr>
              <w:noProof/>
              <w:lang w:val="en-US"/>
            </w:rPr>
            <w:t>(Merton, 1973)</w:t>
          </w:r>
          <w:r w:rsidR="00E66438">
            <w:fldChar w:fldCharType="end"/>
          </w:r>
        </w:sdtContent>
      </w:sdt>
      <w:r w:rsidR="00E66438">
        <w:t>.</w:t>
      </w:r>
      <w:r w:rsidR="00DB323B">
        <w:t xml:space="preserve"> Since then, this model has been a reference for the industry</w:t>
      </w:r>
      <w:r w:rsidR="00E24606">
        <w:t>,</w:t>
      </w:r>
      <w:r w:rsidR="00DB323B">
        <w:t xml:space="preserve"> and multiple methodologies and extensions were created</w:t>
      </w:r>
      <w:r w:rsidR="001B701E">
        <w:t xml:space="preserve"> to </w:t>
      </w:r>
      <w:r w:rsidR="001F2679">
        <w:t xml:space="preserve">price options on </w:t>
      </w:r>
      <w:r w:rsidR="001F2679">
        <w:lastRenderedPageBreak/>
        <w:t>stocks and indices, among many other asset classes</w:t>
      </w:r>
      <w:r w:rsidR="00DB323B">
        <w:t xml:space="preserve">. </w:t>
      </w:r>
      <w:r w:rsidR="00F251BE">
        <w:t xml:space="preserve">However, </w:t>
      </w:r>
      <w:r w:rsidR="00A92F32">
        <w:t xml:space="preserve">within the pricing model </w:t>
      </w:r>
      <w:r w:rsidR="00F251BE">
        <w:t>assumptions there a</w:t>
      </w:r>
      <w:r w:rsidR="00A92F32">
        <w:t xml:space="preserve">re </w:t>
      </w:r>
      <w:r w:rsidR="002E3A94">
        <w:t>two</w:t>
      </w:r>
      <w:r w:rsidR="00A92F32">
        <w:t xml:space="preserve"> that both </w:t>
      </w:r>
      <w:r w:rsidR="00557A11">
        <w:t xml:space="preserve">commercial </w:t>
      </w:r>
      <w:r w:rsidR="00A92F32">
        <w:t xml:space="preserve">real estate academics and practitioners </w:t>
      </w:r>
      <w:r w:rsidR="006D0DCA">
        <w:t>have been reluctant to accept.</w:t>
      </w:r>
      <w:r w:rsidR="00EA1245">
        <w:t xml:space="preserve"> </w:t>
      </w:r>
      <w:r w:rsidR="00A514B3">
        <w:t xml:space="preserve">In fact, real estate derivatives pricing models </w:t>
      </w:r>
      <w:r w:rsidR="00B8054E">
        <w:t xml:space="preserve">are </w:t>
      </w:r>
      <w:r w:rsidR="00A514B3">
        <w:t>lag</w:t>
      </w:r>
      <w:r w:rsidR="00B8054E">
        <w:t>ged</w:t>
      </w:r>
      <w:r w:rsidR="00A514B3">
        <w:t xml:space="preserve"> </w:t>
      </w:r>
      <w:r w:rsidR="00B8054E">
        <w:t>for almost t</w:t>
      </w:r>
      <w:r w:rsidR="00DF1478">
        <w:t>wo</w:t>
      </w:r>
      <w:r w:rsidR="00B8054E">
        <w:t xml:space="preserve"> decades </w:t>
      </w:r>
      <w:r w:rsidR="00DF1478">
        <w:t xml:space="preserve">(or more) </w:t>
      </w:r>
      <w:r w:rsidR="00B8054E">
        <w:t>compared to derivatives in other asset classes.</w:t>
      </w:r>
    </w:p>
    <w:p w14:paraId="678E55A6" w14:textId="47E90E42" w:rsidR="00320695" w:rsidRDefault="006D0DCA" w:rsidP="00AD790B">
      <w:pPr>
        <w:pStyle w:val="Paragraph"/>
        <w:jc w:val="both"/>
      </w:pPr>
      <w:r>
        <w:t xml:space="preserve"> </w:t>
      </w:r>
      <w:r w:rsidR="00B8054E">
        <w:tab/>
      </w:r>
      <w:r w:rsidR="00320695">
        <w:t>First</w:t>
      </w:r>
      <w:r w:rsidR="00B5104D">
        <w:t xml:space="preserve">, </w:t>
      </w:r>
      <w:r w:rsidR="00842A6F">
        <w:t xml:space="preserve">real estate </w:t>
      </w:r>
      <w:r w:rsidR="00175CCF">
        <w:t>does</w:t>
      </w:r>
      <w:r w:rsidR="00842A6F">
        <w:t xml:space="preserve"> not allow for short selling</w:t>
      </w:r>
      <w:r w:rsidR="00B41714">
        <w:t xml:space="preserve"> and trading is </w:t>
      </w:r>
      <w:r w:rsidR="00E03A1D">
        <w:t>infrequent</w:t>
      </w:r>
      <w:r w:rsidR="00175CCF">
        <w:t>,</w:t>
      </w:r>
      <w:r w:rsidR="00BC20F1">
        <w:t xml:space="preserve"> so any arbitrage used for pricing a derivative would be just a theoretical idea rather than a factual reality.</w:t>
      </w:r>
      <w:r w:rsidR="009C460F">
        <w:t xml:space="preserve"> Moreover, asset</w:t>
      </w:r>
      <w:r w:rsidR="00320695">
        <w:t>s</w:t>
      </w:r>
      <w:r w:rsidR="009C460F">
        <w:t xml:space="preserve"> are </w:t>
      </w:r>
      <w:r w:rsidR="00E8666E">
        <w:t>not homogeneous</w:t>
      </w:r>
      <w:r w:rsidR="009C460F">
        <w:t>, and would</w:t>
      </w:r>
      <w:r w:rsidR="00CF415A">
        <w:t xml:space="preserve"> </w:t>
      </w:r>
      <w:r w:rsidR="009C460F">
        <w:t>not</w:t>
      </w:r>
      <w:r w:rsidR="00CF415A">
        <w:t xml:space="preserve"> be</w:t>
      </w:r>
      <w:r w:rsidR="009C460F">
        <w:t xml:space="preserve"> even feasible or practical to create a derivative whose underlying asset is one property.</w:t>
      </w:r>
      <w:r w:rsidR="00BC20F1">
        <w:t xml:space="preserve"> </w:t>
      </w:r>
      <w:r w:rsidR="008E0F74">
        <w:t xml:space="preserve">Many </w:t>
      </w:r>
      <w:r w:rsidR="008818E3">
        <w:t>authors</w:t>
      </w:r>
      <w:r w:rsidR="008E0F74">
        <w:t>,</w:t>
      </w:r>
      <w:r w:rsidR="008818E3">
        <w:t xml:space="preserve"> following </w:t>
      </w:r>
      <w:sdt>
        <w:sdtPr>
          <w:id w:val="-333761520"/>
          <w:citation/>
        </w:sdtPr>
        <w:sdtEndPr/>
        <w:sdtContent>
          <w:r w:rsidR="008818E3">
            <w:fldChar w:fldCharType="begin"/>
          </w:r>
          <w:r w:rsidR="00EB38AD">
            <w:rPr>
              <w:lang w:val="en-US"/>
            </w:rPr>
            <w:instrText xml:space="preserve">CITATION Cas93 \l 1033 </w:instrText>
          </w:r>
          <w:r w:rsidR="008818E3">
            <w:fldChar w:fldCharType="separate"/>
          </w:r>
          <w:r w:rsidR="00A9403C">
            <w:rPr>
              <w:noProof/>
              <w:lang w:val="en-US"/>
            </w:rPr>
            <w:t>(Case, Shiller, &amp; Weiss, Index-Based Futures and Options Markets in Real Estate, 1993)</w:t>
          </w:r>
          <w:r w:rsidR="008818E3">
            <w:fldChar w:fldCharType="end"/>
          </w:r>
        </w:sdtContent>
      </w:sdt>
      <w:r w:rsidR="00C06C89">
        <w:t xml:space="preserve"> </w:t>
      </w:r>
      <w:r w:rsidR="008818E3">
        <w:t>have proposed</w:t>
      </w:r>
      <w:r w:rsidR="00175CCF">
        <w:t xml:space="preserve"> </w:t>
      </w:r>
      <w:r w:rsidR="00C06C89">
        <w:t xml:space="preserve">to </w:t>
      </w:r>
      <w:r w:rsidR="00175CCF">
        <w:t>structure</w:t>
      </w:r>
      <w:r w:rsidR="00C06C89">
        <w:t xml:space="preserve"> derivatives over indices instead of</w:t>
      </w:r>
      <w:r w:rsidR="00175CCF">
        <w:t xml:space="preserve"> real assets</w:t>
      </w:r>
      <w:r w:rsidR="00AD61B8">
        <w:t xml:space="preserve"> to avoid such issues</w:t>
      </w:r>
      <w:r w:rsidR="00175CCF">
        <w:t xml:space="preserve">. This way, indices would be eligible for </w:t>
      </w:r>
      <w:r w:rsidR="001446D6">
        <w:t>short selling</w:t>
      </w:r>
      <w:r w:rsidR="00175CCF">
        <w:t xml:space="preserve"> through the</w:t>
      </w:r>
      <w:r w:rsidR="001446D6">
        <w:t>ir</w:t>
      </w:r>
      <w:r w:rsidR="00175CCF">
        <w:t xml:space="preserve"> futu</w:t>
      </w:r>
      <w:r w:rsidR="001446D6">
        <w:t>res market</w:t>
      </w:r>
      <w:r w:rsidR="00AD61B8">
        <w:t>,</w:t>
      </w:r>
      <w:r w:rsidR="001446D6">
        <w:t xml:space="preserve"> and </w:t>
      </w:r>
      <w:r w:rsidR="00320695">
        <w:t>real estate price risk can be hedged with these derivatives.</w:t>
      </w:r>
    </w:p>
    <w:p w14:paraId="3CF02896" w14:textId="620A59CE" w:rsidR="00EA1245" w:rsidRDefault="00C06C89" w:rsidP="000074B4">
      <w:pPr>
        <w:pStyle w:val="Paragraph"/>
        <w:jc w:val="both"/>
      </w:pPr>
      <w:r>
        <w:t xml:space="preserve"> </w:t>
      </w:r>
      <w:r w:rsidR="00842A6F">
        <w:t xml:space="preserve"> </w:t>
      </w:r>
      <w:r w:rsidR="000074B4">
        <w:tab/>
      </w:r>
      <w:r w:rsidR="00D144B1">
        <w:t>Nevertheless</w:t>
      </w:r>
      <w:r w:rsidR="00CB3220">
        <w:t>, t</w:t>
      </w:r>
      <w:r w:rsidR="000074B4">
        <w:t xml:space="preserve">he construction of an </w:t>
      </w:r>
      <w:r w:rsidR="00D26C2B">
        <w:t xml:space="preserve">appropriate </w:t>
      </w:r>
      <w:r w:rsidR="000074B4">
        <w:t xml:space="preserve">index </w:t>
      </w:r>
      <w:r w:rsidR="00D26C2B">
        <w:t xml:space="preserve">is also an open subject. </w:t>
      </w:r>
      <w:r w:rsidR="002F246C">
        <w:t xml:space="preserve">Real estate price indices are categorized between </w:t>
      </w:r>
      <w:r w:rsidR="002F474D">
        <w:t xml:space="preserve">transactional-based and </w:t>
      </w:r>
      <w:r w:rsidR="00317DD5">
        <w:t>appraisal-based</w:t>
      </w:r>
      <w:r w:rsidR="007018C9">
        <w:t xml:space="preserve"> </w:t>
      </w:r>
      <w:sdt>
        <w:sdtPr>
          <w:id w:val="1576782335"/>
          <w:citation/>
        </w:sdtPr>
        <w:sdtEndPr/>
        <w:sdtContent>
          <w:r w:rsidR="007018C9">
            <w:fldChar w:fldCharType="begin"/>
          </w:r>
          <w:r w:rsidR="007018C9">
            <w:rPr>
              <w:lang w:val="en-US"/>
            </w:rPr>
            <w:instrText xml:space="preserve"> CITATION Fis94 \l 1033 </w:instrText>
          </w:r>
          <w:r w:rsidR="007018C9">
            <w:fldChar w:fldCharType="separate"/>
          </w:r>
          <w:r w:rsidR="007018C9">
            <w:rPr>
              <w:noProof/>
              <w:lang w:val="en-US"/>
            </w:rPr>
            <w:t>(Fisher, Geltner, &amp; Webb, 1994)</w:t>
          </w:r>
          <w:r w:rsidR="007018C9">
            <w:fldChar w:fldCharType="end"/>
          </w:r>
        </w:sdtContent>
      </w:sdt>
      <w:r w:rsidR="00317DD5">
        <w:t xml:space="preserve">. The </w:t>
      </w:r>
      <w:r w:rsidR="00831882">
        <w:t>most common</w:t>
      </w:r>
      <w:r w:rsidR="00F66BD1">
        <w:t xml:space="preserve"> transactional-based</w:t>
      </w:r>
      <w:r w:rsidR="0036384C">
        <w:t xml:space="preserve"> methodology </w:t>
      </w:r>
      <w:r w:rsidR="00956115">
        <w:t>to track</w:t>
      </w:r>
      <w:r w:rsidR="0036384C">
        <w:t xml:space="preserve"> home prices</w:t>
      </w:r>
      <w:r w:rsidR="00831882">
        <w:t>, the repeated-sales index,</w:t>
      </w:r>
      <w:r w:rsidR="0036384C">
        <w:t xml:space="preserve"> was initially </w:t>
      </w:r>
      <w:r w:rsidR="00EB38AD">
        <w:t xml:space="preserve">proposed by </w:t>
      </w:r>
      <w:sdt>
        <w:sdtPr>
          <w:id w:val="-1500416795"/>
          <w:citation/>
        </w:sdtPr>
        <w:sdtEndPr/>
        <w:sdtContent>
          <w:r w:rsidR="00EB38AD">
            <w:fldChar w:fldCharType="begin"/>
          </w:r>
          <w:r w:rsidR="00EB38AD">
            <w:rPr>
              <w:lang w:val="en-US"/>
            </w:rPr>
            <w:instrText xml:space="preserve"> CITATION heEff \l 1033 </w:instrText>
          </w:r>
          <w:r w:rsidR="00EB38AD">
            <w:fldChar w:fldCharType="separate"/>
          </w:r>
          <w:r w:rsidR="00A9403C">
            <w:rPr>
              <w:noProof/>
              <w:lang w:val="en-US"/>
            </w:rPr>
            <w:t>(Case &amp; Shiller, The Efficiency of the Market for Single-Family Homes, 1989)</w:t>
          </w:r>
          <w:r w:rsidR="00EB38AD">
            <w:fldChar w:fldCharType="end"/>
          </w:r>
        </w:sdtContent>
      </w:sdt>
      <w:r w:rsidR="00A9403C">
        <w:t xml:space="preserve"> for hedging residential equity value, with </w:t>
      </w:r>
      <w:r w:rsidR="00A229EA">
        <w:t>the</w:t>
      </w:r>
      <w:r w:rsidR="00A9403C">
        <w:t xml:space="preserve"> novel idea</w:t>
      </w:r>
      <w:r w:rsidR="00A229EA">
        <w:t xml:space="preserve"> of</w:t>
      </w:r>
      <w:r w:rsidR="00A9403C">
        <w:t xml:space="preserve"> </w:t>
      </w:r>
      <w:r w:rsidR="009E4E0D">
        <w:t>creating a</w:t>
      </w:r>
      <w:r w:rsidR="00FF089C">
        <w:t>n</w:t>
      </w:r>
      <w:r w:rsidR="009E4E0D">
        <w:t xml:space="preserve"> </w:t>
      </w:r>
      <w:r w:rsidR="00FF089C">
        <w:t>equity insurance</w:t>
      </w:r>
      <w:r w:rsidR="009E4E0D">
        <w:t xml:space="preserve"> t</w:t>
      </w:r>
      <w:r w:rsidR="00FF089C">
        <w:t>h</w:t>
      </w:r>
      <w:r w:rsidR="00CB3220">
        <w:t>at</w:t>
      </w:r>
      <w:r w:rsidR="009E4E0D">
        <w:t xml:space="preserve"> </w:t>
      </w:r>
      <w:r w:rsidR="00214331">
        <w:t>homeowners</w:t>
      </w:r>
      <w:r w:rsidR="009E4E0D">
        <w:t xml:space="preserve"> could buy with </w:t>
      </w:r>
      <w:r w:rsidR="00003806">
        <w:t>their</w:t>
      </w:r>
      <w:r w:rsidR="00FF089C">
        <w:t xml:space="preserve"> propert</w:t>
      </w:r>
      <w:r w:rsidR="00003806">
        <w:t>ies</w:t>
      </w:r>
      <w:r w:rsidR="00214331">
        <w:t>,</w:t>
      </w:r>
      <w:r w:rsidR="009E4E0D">
        <w:t xml:space="preserve"> to hedge their equity when homes prices were falling and avoid defaulting on </w:t>
      </w:r>
      <w:r w:rsidR="00214331">
        <w:t>th</w:t>
      </w:r>
      <w:r w:rsidR="009E4E0D">
        <w:t>eir mortgages.</w:t>
      </w:r>
      <w:r w:rsidR="00214331">
        <w:t xml:space="preserve"> This type of index </w:t>
      </w:r>
      <w:r w:rsidR="0085050F">
        <w:t xml:space="preserve">is based </w:t>
      </w:r>
      <w:r w:rsidR="002A4455">
        <w:t>o</w:t>
      </w:r>
      <w:r w:rsidR="0085050F">
        <w:t>n the p</w:t>
      </w:r>
      <w:r w:rsidR="00214331">
        <w:t xml:space="preserve">rice </w:t>
      </w:r>
      <w:r w:rsidR="0085050F">
        <w:t xml:space="preserve">change of properties traded twice in </w:t>
      </w:r>
      <w:r w:rsidR="00606F43">
        <w:t>time interval</w:t>
      </w:r>
      <w:r w:rsidR="0085050F">
        <w:t>, so it is based on actual real estate prices.</w:t>
      </w:r>
      <w:r w:rsidR="00214331">
        <w:t xml:space="preserve"> </w:t>
      </w:r>
      <w:r w:rsidR="00CB3220">
        <w:t>A transactional</w:t>
      </w:r>
      <w:r w:rsidR="00606F43">
        <w:t>-</w:t>
      </w:r>
      <w:r w:rsidR="00CB3220">
        <w:t>based alternative would be the hedonic</w:t>
      </w:r>
      <w:r w:rsidR="00976E40">
        <w:t xml:space="preserve"> model</w:t>
      </w:r>
      <w:r w:rsidR="0026267A">
        <w:t xml:space="preserve"> </w:t>
      </w:r>
      <w:sdt>
        <w:sdtPr>
          <w:id w:val="1303277805"/>
          <w:citation/>
        </w:sdtPr>
        <w:sdtEndPr/>
        <w:sdtContent>
          <w:r w:rsidR="0026267A">
            <w:fldChar w:fldCharType="begin"/>
          </w:r>
          <w:r w:rsidR="0026267A">
            <w:rPr>
              <w:lang w:val="en-US"/>
            </w:rPr>
            <w:instrText xml:space="preserve"> CITATION Ade63 \l 1033 </w:instrText>
          </w:r>
          <w:r w:rsidR="0026267A">
            <w:fldChar w:fldCharType="separate"/>
          </w:r>
          <w:r w:rsidR="0026267A">
            <w:rPr>
              <w:noProof/>
              <w:lang w:val="en-US"/>
            </w:rPr>
            <w:t>(Adelman &amp; Griliches, 1963)</w:t>
          </w:r>
          <w:r w:rsidR="0026267A">
            <w:fldChar w:fldCharType="end"/>
          </w:r>
        </w:sdtContent>
      </w:sdt>
      <w:r w:rsidR="00CB3220">
        <w:t xml:space="preserve"> </w:t>
      </w:r>
      <w:r w:rsidR="00976E40">
        <w:t>t</w:t>
      </w:r>
      <w:r w:rsidR="00EB4BBE">
        <w:t>hat</w:t>
      </w:r>
      <w:r w:rsidR="0026267A">
        <w:t xml:space="preserve"> </w:t>
      </w:r>
      <w:r w:rsidR="00DF0AB2">
        <w:t>regress property values based on multiple characteristics</w:t>
      </w:r>
      <w:r w:rsidR="00B1388F">
        <w:t>, such as location, size</w:t>
      </w:r>
      <w:r w:rsidR="00342DC5">
        <w:t>,</w:t>
      </w:r>
      <w:r w:rsidR="00B1388F">
        <w:t xml:space="preserve"> or quality. On the other hand, </w:t>
      </w:r>
      <w:r w:rsidR="00190C78">
        <w:t>appraisal-based</w:t>
      </w:r>
      <w:r w:rsidR="00B1388F">
        <w:t xml:space="preserve"> indices</w:t>
      </w:r>
      <w:r w:rsidR="009D2A6B">
        <w:t xml:space="preserve"> require contributing participants t</w:t>
      </w:r>
      <w:r w:rsidR="00D33D1C">
        <w:t xml:space="preserve">o perform periodical valuations of their properties to calculate </w:t>
      </w:r>
      <w:r w:rsidR="0051706D">
        <w:t xml:space="preserve">a periodic (usually quarterly) </w:t>
      </w:r>
      <w:r w:rsidR="0051706D">
        <w:lastRenderedPageBreak/>
        <w:t xml:space="preserve">return based on capital growth </w:t>
      </w:r>
      <w:r w:rsidR="00342DC5">
        <w:t>and</w:t>
      </w:r>
      <w:r w:rsidR="0051706D">
        <w:t xml:space="preserve"> income yield. </w:t>
      </w:r>
      <w:r w:rsidR="00190C78">
        <w:t>This type of ind</w:t>
      </w:r>
      <w:r w:rsidR="00437D2D">
        <w:t>ex</w:t>
      </w:r>
      <w:r w:rsidR="00190C78">
        <w:t xml:space="preserve"> </w:t>
      </w:r>
      <w:r w:rsidR="00EB75C9">
        <w:t>is</w:t>
      </w:r>
      <w:r w:rsidR="00190C78">
        <w:t xml:space="preserve"> based on </w:t>
      </w:r>
      <w:sdt>
        <w:sdtPr>
          <w:id w:val="1502077480"/>
          <w:citation/>
        </w:sdtPr>
        <w:sdtEndPr/>
        <w:sdtContent>
          <w:r w:rsidR="00190C78">
            <w:fldChar w:fldCharType="begin"/>
          </w:r>
          <w:r w:rsidR="00190C78">
            <w:rPr>
              <w:lang w:val="en-US"/>
            </w:rPr>
            <w:instrText xml:space="preserve"> CITATION Gil94 \l 1033 </w:instrText>
          </w:r>
          <w:r w:rsidR="00190C78">
            <w:fldChar w:fldCharType="separate"/>
          </w:r>
          <w:r w:rsidR="00190C78">
            <w:rPr>
              <w:noProof/>
              <w:lang w:val="en-US"/>
            </w:rPr>
            <w:t>(Giliberto, 1994)</w:t>
          </w:r>
          <w:r w:rsidR="00190C78">
            <w:fldChar w:fldCharType="end"/>
          </w:r>
        </w:sdtContent>
      </w:sdt>
      <w:r w:rsidR="00856A86">
        <w:t xml:space="preserve"> proxy of the internal rate of return to calculate a holding period return with intermediate cash flows</w:t>
      </w:r>
      <w:r w:rsidR="00437D2D">
        <w:t>, such NOI and capital improvements</w:t>
      </w:r>
      <w:r w:rsidR="00856A86">
        <w:t>.</w:t>
      </w:r>
    </w:p>
    <w:p w14:paraId="473E2372" w14:textId="1C3CA362" w:rsidR="003179F2" w:rsidRDefault="00B23C07" w:rsidP="00A418BF">
      <w:pPr>
        <w:pStyle w:val="Newparagraph"/>
        <w:jc w:val="both"/>
      </w:pPr>
      <w:r w:rsidRPr="00B23C07">
        <w:t>While transaction-based indices outstand for using actual transactional data, capturing price changes faster, and accessing a more significant sample than appraisal-based indices, they lack capturing all capital improvements and other expenses incurred by the property owner between transactions.</w:t>
      </w:r>
      <w:r>
        <w:t xml:space="preserve"> </w:t>
      </w:r>
      <w:r w:rsidR="00390C26">
        <w:t xml:space="preserve">Appraisal-based indices </w:t>
      </w:r>
      <w:r w:rsidR="00B947F3">
        <w:t>catch</w:t>
      </w:r>
      <w:r w:rsidR="00390C26">
        <w:t xml:space="preserve"> these improvements a</w:t>
      </w:r>
      <w:r w:rsidR="002B65E1">
        <w:t>nd</w:t>
      </w:r>
      <w:r w:rsidR="00390C26">
        <w:t xml:space="preserve"> income changes </w:t>
      </w:r>
      <w:r w:rsidR="0025452C">
        <w:t xml:space="preserve">throughout time, but </w:t>
      </w:r>
      <w:r w:rsidR="0013690F">
        <w:t>they</w:t>
      </w:r>
      <w:r w:rsidR="0025452C">
        <w:t xml:space="preserve"> are usually lagged </w:t>
      </w:r>
      <w:r w:rsidR="0029157C">
        <w:t xml:space="preserve">and underestimate volatility since </w:t>
      </w:r>
      <w:r w:rsidR="002B65E1">
        <w:t xml:space="preserve">they </w:t>
      </w:r>
      <w:r w:rsidR="0029157C">
        <w:t xml:space="preserve">depend on </w:t>
      </w:r>
      <w:r w:rsidR="002B65E1">
        <w:t xml:space="preserve">properties </w:t>
      </w:r>
      <w:r w:rsidR="0013690F">
        <w:t>owner’s</w:t>
      </w:r>
      <w:r w:rsidR="00B512ED">
        <w:t xml:space="preserve"> valuation process </w:t>
      </w:r>
      <w:sdt>
        <w:sdtPr>
          <w:id w:val="-1128860190"/>
          <w:citation/>
        </w:sdtPr>
        <w:sdtEndPr/>
        <w:sdtContent>
          <w:r w:rsidR="00B512ED">
            <w:fldChar w:fldCharType="begin"/>
          </w:r>
          <w:r w:rsidR="00B512ED">
            <w:rPr>
              <w:lang w:val="en-US"/>
            </w:rPr>
            <w:instrText xml:space="preserve"> CITATION Tun17 \l 1033 </w:instrText>
          </w:r>
          <w:r w:rsidR="00B512ED">
            <w:fldChar w:fldCharType="separate"/>
          </w:r>
          <w:r w:rsidR="00B512ED">
            <w:rPr>
              <w:noProof/>
              <w:lang w:val="en-US"/>
            </w:rPr>
            <w:t>(Tunaru, 2017)</w:t>
          </w:r>
          <w:r w:rsidR="00B512ED">
            <w:fldChar w:fldCharType="end"/>
          </w:r>
        </w:sdtContent>
      </w:sdt>
      <w:r w:rsidR="00B512ED">
        <w:t>.</w:t>
      </w:r>
      <w:r w:rsidR="0013690F">
        <w:t xml:space="preserve"> The good news is </w:t>
      </w:r>
      <w:r w:rsidR="00272B24">
        <w:t>that</w:t>
      </w:r>
      <w:r w:rsidR="0013690F">
        <w:t xml:space="preserve"> independent of the </w:t>
      </w:r>
      <w:r w:rsidR="00C26F07">
        <w:t xml:space="preserve">type of index used, they share some common stylized facts that are fundamental for </w:t>
      </w:r>
      <w:r w:rsidR="00AB5468">
        <w:t xml:space="preserve">derivatives pricing. As demonstrated by </w:t>
      </w:r>
      <w:sdt>
        <w:sdtPr>
          <w:id w:val="1833478958"/>
          <w:citation/>
        </w:sdtPr>
        <w:sdtEndPr/>
        <w:sdtContent>
          <w:r w:rsidR="00AB5468">
            <w:fldChar w:fldCharType="begin"/>
          </w:r>
          <w:r w:rsidR="00AB5468">
            <w:rPr>
              <w:lang w:val="en-US"/>
            </w:rPr>
            <w:instrText xml:space="preserve"> CITATION Fab11 \l 1033 </w:instrText>
          </w:r>
          <w:r w:rsidR="00AB5468">
            <w:fldChar w:fldCharType="separate"/>
          </w:r>
          <w:r w:rsidR="00AB5468">
            <w:rPr>
              <w:noProof/>
              <w:lang w:val="en-US"/>
            </w:rPr>
            <w:t>(Fabozzi, Shiller, &amp; Tunaru, A Pricing Framework for Real Estate Derivatives, 2011)</w:t>
          </w:r>
          <w:r w:rsidR="00AB5468">
            <w:fldChar w:fldCharType="end"/>
          </w:r>
        </w:sdtContent>
      </w:sdt>
      <w:r w:rsidR="003179F2">
        <w:t xml:space="preserve"> using UK IPD (transaction-based) and NCREIF NPI (appraisal-based)</w:t>
      </w:r>
      <w:r w:rsidR="00AB5468">
        <w:t xml:space="preserve">, </w:t>
      </w:r>
      <w:r w:rsidR="003179F2">
        <w:t>indices historical</w:t>
      </w:r>
      <w:r w:rsidR="00AB5468">
        <w:t xml:space="preserve"> </w:t>
      </w:r>
      <w:r w:rsidR="003179F2">
        <w:t>returns</w:t>
      </w:r>
      <w:r w:rsidR="00AB5468">
        <w:t xml:space="preserve"> </w:t>
      </w:r>
      <w:r w:rsidR="003179F2">
        <w:t>possess</w:t>
      </w:r>
      <w:r w:rsidR="00AB5468">
        <w:t xml:space="preserve"> </w:t>
      </w:r>
      <w:r w:rsidR="00272B24">
        <w:t>short-term positive serial correlation</w:t>
      </w:r>
      <w:r w:rsidR="00BC2EA0">
        <w:t xml:space="preserve"> and</w:t>
      </w:r>
      <w:r w:rsidR="003179F2">
        <w:t xml:space="preserve"> long-term negative serial correlation, which leads to the second </w:t>
      </w:r>
      <w:r w:rsidR="00726925">
        <w:t>failure of Black and Scholes pricing framework</w:t>
      </w:r>
      <w:r w:rsidR="0020267D">
        <w:t xml:space="preserve"> for real estate derivatives pricing</w:t>
      </w:r>
      <w:r w:rsidR="00726925">
        <w:t>.</w:t>
      </w:r>
    </w:p>
    <w:p w14:paraId="5089AFC1" w14:textId="75C6FB24" w:rsidR="00437D2D" w:rsidRDefault="00726925" w:rsidP="000249A5">
      <w:pPr>
        <w:pStyle w:val="Newparagraph"/>
        <w:jc w:val="both"/>
      </w:pPr>
      <w:r>
        <w:t xml:space="preserve">While </w:t>
      </w:r>
      <w:r w:rsidR="00066CE2">
        <w:t xml:space="preserve">in the Black and Scholes model </w:t>
      </w:r>
      <w:r>
        <w:t xml:space="preserve">stocks </w:t>
      </w:r>
      <w:r w:rsidR="0020267D">
        <w:t xml:space="preserve">returns </w:t>
      </w:r>
      <w:r>
        <w:t xml:space="preserve">are </w:t>
      </w:r>
      <w:r w:rsidR="001D0BFF">
        <w:t>assumed</w:t>
      </w:r>
      <w:r>
        <w:t xml:space="preserve"> to</w:t>
      </w:r>
      <w:r w:rsidR="0020267D">
        <w:t xml:space="preserve"> be independent </w:t>
      </w:r>
      <w:r w:rsidR="001D0BFF">
        <w:t xml:space="preserve">so they can be </w:t>
      </w:r>
      <w:r w:rsidR="00905964">
        <w:t>reproduced with a</w:t>
      </w:r>
      <w:r w:rsidR="0037367D">
        <w:t xml:space="preserve"> </w:t>
      </w:r>
      <w:r w:rsidR="00905964">
        <w:t xml:space="preserve">Brownian motion, </w:t>
      </w:r>
      <w:r w:rsidR="00455046">
        <w:t xml:space="preserve">serial correlation </w:t>
      </w:r>
      <w:r w:rsidR="0037367D">
        <w:t xml:space="preserve">in real estate property prices cannot follow this type of stochastic process. </w:t>
      </w:r>
      <w:r w:rsidR="009A32EF">
        <w:t xml:space="preserve">Models for pricing derivatives with serial correlation </w:t>
      </w:r>
      <w:r w:rsidR="004F7F59">
        <w:t xml:space="preserve">can be traced to </w:t>
      </w:r>
      <w:sdt>
        <w:sdtPr>
          <w:id w:val="1553663632"/>
          <w:citation/>
        </w:sdtPr>
        <w:sdtEndPr/>
        <w:sdtContent>
          <w:r w:rsidR="004F7F59">
            <w:fldChar w:fldCharType="begin"/>
          </w:r>
          <w:r w:rsidR="004F7F59">
            <w:rPr>
              <w:lang w:val="en-US"/>
            </w:rPr>
            <w:instrText xml:space="preserve"> CITATION LoA95 \l 1033 </w:instrText>
          </w:r>
          <w:r w:rsidR="004F7F59">
            <w:fldChar w:fldCharType="separate"/>
          </w:r>
          <w:r w:rsidR="004F7F59">
            <w:rPr>
              <w:noProof/>
              <w:lang w:val="en-US"/>
            </w:rPr>
            <w:t>(Lo &amp; Wang, 1995)</w:t>
          </w:r>
          <w:r w:rsidR="004F7F59">
            <w:fldChar w:fldCharType="end"/>
          </w:r>
        </w:sdtContent>
      </w:sdt>
      <w:r w:rsidR="00540BAF">
        <w:t xml:space="preserve"> and usually use an </w:t>
      </w:r>
      <w:r w:rsidR="00A86595">
        <w:t>O</w:t>
      </w:r>
      <w:r w:rsidR="00E82F12" w:rsidRPr="00E82F12">
        <w:t>rnstein-</w:t>
      </w:r>
      <w:r w:rsidR="00A86595">
        <w:t>U</w:t>
      </w:r>
      <w:r w:rsidR="00E82F12" w:rsidRPr="00E82F12">
        <w:t>hlenbeck process</w:t>
      </w:r>
      <w:r w:rsidR="00A94A92">
        <w:t xml:space="preserve"> instead</w:t>
      </w:r>
      <w:r w:rsidR="00E82F12">
        <w:t>.</w:t>
      </w:r>
      <w:r w:rsidR="00867707">
        <w:t xml:space="preserve"> </w:t>
      </w:r>
      <w:r w:rsidR="005E70A9">
        <w:t>Moreover</w:t>
      </w:r>
      <w:r w:rsidR="00867707">
        <w:t xml:space="preserve">, </w:t>
      </w:r>
      <w:r w:rsidR="00707751">
        <w:t xml:space="preserve">the effect </w:t>
      </w:r>
      <w:r w:rsidR="00702765">
        <w:t>of interest rate</w:t>
      </w:r>
      <w:r w:rsidR="00973C41">
        <w:t>s</w:t>
      </w:r>
      <w:r w:rsidR="00702765">
        <w:t xml:space="preserve"> in real estate prices has </w:t>
      </w:r>
      <w:r w:rsidR="006F4FF4">
        <w:t>led</w:t>
      </w:r>
      <w:r w:rsidR="00702765">
        <w:t xml:space="preserve"> many </w:t>
      </w:r>
      <w:r w:rsidR="00E577DC">
        <w:t>researchers</w:t>
      </w:r>
      <w:r w:rsidR="00741A00">
        <w:t xml:space="preserve"> to use bivariate models instead</w:t>
      </w:r>
      <w:r w:rsidR="006F4FF4">
        <w:t xml:space="preserve"> like </w:t>
      </w:r>
      <w:sdt>
        <w:sdtPr>
          <w:id w:val="562290870"/>
          <w:citation/>
        </w:sdtPr>
        <w:sdtEndPr/>
        <w:sdtContent>
          <w:r w:rsidR="006F4FF4">
            <w:fldChar w:fldCharType="begin"/>
          </w:r>
          <w:r w:rsidR="006F4FF4">
            <w:rPr>
              <w:lang w:val="en-US"/>
            </w:rPr>
            <w:instrText xml:space="preserve"> CITATION Bjo02 \l 1033 </w:instrText>
          </w:r>
          <w:r w:rsidR="006F4FF4">
            <w:fldChar w:fldCharType="separate"/>
          </w:r>
          <w:r w:rsidR="006F4FF4">
            <w:rPr>
              <w:noProof/>
              <w:lang w:val="en-US"/>
            </w:rPr>
            <w:t>(Bjork &amp; Clapham, 2002)</w:t>
          </w:r>
          <w:r w:rsidR="006F4FF4">
            <w:fldChar w:fldCharType="end"/>
          </w:r>
        </w:sdtContent>
      </w:sdt>
      <w:r w:rsidR="006F4FF4">
        <w:t xml:space="preserve"> and </w:t>
      </w:r>
      <w:sdt>
        <w:sdtPr>
          <w:id w:val="87126419"/>
          <w:citation/>
        </w:sdtPr>
        <w:sdtEndPr/>
        <w:sdtContent>
          <w:r w:rsidR="006F4FF4">
            <w:fldChar w:fldCharType="begin"/>
          </w:r>
          <w:r w:rsidR="006F4FF4">
            <w:rPr>
              <w:lang w:val="en-US"/>
            </w:rPr>
            <w:instrText xml:space="preserve"> CITATION Pat08 \l 1033 </w:instrText>
          </w:r>
          <w:r w:rsidR="006F4FF4">
            <w:fldChar w:fldCharType="separate"/>
          </w:r>
          <w:r w:rsidR="006F4FF4">
            <w:rPr>
              <w:noProof/>
              <w:lang w:val="en-US"/>
            </w:rPr>
            <w:t>(Patel &amp; Pereira, 2008)</w:t>
          </w:r>
          <w:r w:rsidR="006F4FF4">
            <w:fldChar w:fldCharType="end"/>
          </w:r>
        </w:sdtContent>
      </w:sdt>
      <w:r w:rsidR="00021866">
        <w:t xml:space="preserve">. </w:t>
      </w:r>
      <w:r w:rsidR="00E577DC">
        <w:t>Another</w:t>
      </w:r>
      <w:r w:rsidR="00021866">
        <w:t xml:space="preserve"> </w:t>
      </w:r>
      <w:r w:rsidR="0080097E">
        <w:t>common</w:t>
      </w:r>
      <w:r w:rsidR="00021866">
        <w:t xml:space="preserve"> approach</w:t>
      </w:r>
      <w:r w:rsidR="00414F70">
        <w:t xml:space="preserve"> </w:t>
      </w:r>
      <w:r w:rsidR="0080097E">
        <w:t xml:space="preserve">is risk-neutral valuation first proposed by </w:t>
      </w:r>
      <w:sdt>
        <w:sdtPr>
          <w:id w:val="475031549"/>
          <w:citation/>
        </w:sdtPr>
        <w:sdtEndPr/>
        <w:sdtContent>
          <w:r w:rsidR="0080097E">
            <w:fldChar w:fldCharType="begin"/>
          </w:r>
          <w:r w:rsidR="0080097E">
            <w:rPr>
              <w:lang w:val="en-US"/>
            </w:rPr>
            <w:instrText xml:space="preserve"> CITATION Tit89 \l 1033 </w:instrText>
          </w:r>
          <w:r w:rsidR="0080097E">
            <w:fldChar w:fldCharType="separate"/>
          </w:r>
          <w:r w:rsidR="0080097E">
            <w:rPr>
              <w:noProof/>
              <w:lang w:val="en-US"/>
            </w:rPr>
            <w:t>(Titman &amp; Torous, 1989)</w:t>
          </w:r>
          <w:r w:rsidR="0080097E">
            <w:fldChar w:fldCharType="end"/>
          </w:r>
        </w:sdtContent>
      </w:sdt>
      <w:r w:rsidR="0080097E">
        <w:t xml:space="preserve">. An </w:t>
      </w:r>
      <w:r w:rsidR="00E2254A">
        <w:t xml:space="preserve">attractive </w:t>
      </w:r>
      <w:r w:rsidR="0080097E">
        <w:t xml:space="preserve">risk-neutral model was </w:t>
      </w:r>
      <w:r w:rsidR="00414F70">
        <w:t xml:space="preserve">developed by </w:t>
      </w:r>
      <w:sdt>
        <w:sdtPr>
          <w:id w:val="-694617798"/>
          <w:citation/>
        </w:sdtPr>
        <w:sdtEndPr/>
        <w:sdtContent>
          <w:r w:rsidR="00414F70">
            <w:fldChar w:fldCharType="begin"/>
          </w:r>
          <w:r w:rsidR="00414F70">
            <w:rPr>
              <w:lang w:val="en-US"/>
            </w:rPr>
            <w:instrText xml:space="preserve"> CITATION Van15 \l 1033 </w:instrText>
          </w:r>
          <w:r w:rsidR="00414F70">
            <w:fldChar w:fldCharType="separate"/>
          </w:r>
          <w:r w:rsidR="00414F70">
            <w:rPr>
              <w:noProof/>
              <w:lang w:val="en-US"/>
            </w:rPr>
            <w:t>(Van Bragt, Francke, Singor, &amp; Pelsser, 2015)</w:t>
          </w:r>
          <w:r w:rsidR="00414F70">
            <w:fldChar w:fldCharType="end"/>
          </w:r>
        </w:sdtContent>
      </w:sdt>
      <w:r w:rsidR="00C66890">
        <w:t xml:space="preserve">, also known as the </w:t>
      </w:r>
      <w:r w:rsidR="009438CD">
        <w:t xml:space="preserve">BFSP </w:t>
      </w:r>
      <w:r w:rsidR="009438CD">
        <w:lastRenderedPageBreak/>
        <w:t>model. It</w:t>
      </w:r>
      <w:r w:rsidR="009A7167">
        <w:t xml:space="preserve"> </w:t>
      </w:r>
      <w:r w:rsidR="00E577DC">
        <w:t>use</w:t>
      </w:r>
      <w:r w:rsidR="009438CD">
        <w:t>s</w:t>
      </w:r>
      <w:r w:rsidR="00E577DC">
        <w:t xml:space="preserve"> a risk-neutral </w:t>
      </w:r>
      <w:r w:rsidR="009438CD">
        <w:t>framework</w:t>
      </w:r>
      <w:r w:rsidR="00E577DC">
        <w:t xml:space="preserve"> based on random departures of the observed index from an unobserved </w:t>
      </w:r>
      <w:r w:rsidR="00A96322">
        <w:t xml:space="preserve">underlying index, to describe </w:t>
      </w:r>
      <w:r w:rsidR="00BF0AE0">
        <w:t>the underlying asset price</w:t>
      </w:r>
      <w:r w:rsidR="00A96322">
        <w:t xml:space="preserve"> process and price futures, plain vanill</w:t>
      </w:r>
      <w:r w:rsidR="00A06A25">
        <w:t>a</w:t>
      </w:r>
      <w:r w:rsidR="00A96322">
        <w:t xml:space="preserve"> </w:t>
      </w:r>
      <w:r w:rsidR="00E2254A">
        <w:t>options,</w:t>
      </w:r>
      <w:r w:rsidR="00A96322">
        <w:t xml:space="preserve"> and </w:t>
      </w:r>
      <w:r w:rsidR="00A8364A">
        <w:t>total return swaps. This</w:t>
      </w:r>
      <w:r w:rsidR="00E23BD5">
        <w:t xml:space="preserve"> model</w:t>
      </w:r>
      <w:r w:rsidR="00A8364A">
        <w:t xml:space="preserve"> is of great interest because it captures all three mentioned stylized facts </w:t>
      </w:r>
      <w:r w:rsidR="00E23BD5">
        <w:t xml:space="preserve">and </w:t>
      </w:r>
      <w:r w:rsidR="001E7DFC">
        <w:t>recognize</w:t>
      </w:r>
      <w:r w:rsidR="00895403">
        <w:t>s</w:t>
      </w:r>
      <w:r w:rsidR="001E7DFC">
        <w:t xml:space="preserve"> </w:t>
      </w:r>
      <w:r w:rsidR="00507737">
        <w:t>significant</w:t>
      </w:r>
      <w:r w:rsidR="001E7DFC">
        <w:t xml:space="preserve"> changes in derivatives prices when the underlying </w:t>
      </w:r>
      <w:r w:rsidR="00507737">
        <w:t>is</w:t>
      </w:r>
      <w:r w:rsidR="006F407A">
        <w:t xml:space="preserve"> </w:t>
      </w:r>
      <w:r w:rsidR="00507737">
        <w:t>volatile</w:t>
      </w:r>
      <w:r w:rsidR="00D064E4">
        <w:t>.</w:t>
      </w:r>
    </w:p>
    <w:p w14:paraId="414DFE11" w14:textId="603CF81A" w:rsidR="005706A8" w:rsidRDefault="001A5FE0" w:rsidP="000249A5">
      <w:pPr>
        <w:pStyle w:val="Newparagraph"/>
        <w:jc w:val="both"/>
      </w:pPr>
      <w:r>
        <w:t xml:space="preserve">It is worth </w:t>
      </w:r>
      <w:r w:rsidR="006C10F2">
        <w:t>mentioning</w:t>
      </w:r>
      <w:r>
        <w:t xml:space="preserve"> that the models described so far</w:t>
      </w:r>
      <w:r w:rsidR="00A06A25">
        <w:t xml:space="preserve"> are under the umbrella of the no-arbitrage </w:t>
      </w:r>
      <w:r w:rsidR="00807EDF">
        <w:t>principle</w:t>
      </w:r>
      <w:r w:rsidR="00A06A25">
        <w:t xml:space="preserve">. In fact, </w:t>
      </w:r>
      <w:sdt>
        <w:sdtPr>
          <w:id w:val="-877008875"/>
          <w:citation/>
        </w:sdtPr>
        <w:sdtEndPr/>
        <w:sdtContent>
          <w:r w:rsidR="006750C2">
            <w:fldChar w:fldCharType="begin"/>
          </w:r>
          <w:r w:rsidR="006750C2">
            <w:rPr>
              <w:lang w:val="en-US"/>
            </w:rPr>
            <w:instrText xml:space="preserve"> CITATION Fab11 \l 1033 </w:instrText>
          </w:r>
          <w:r w:rsidR="006750C2">
            <w:fldChar w:fldCharType="separate"/>
          </w:r>
          <w:r w:rsidR="006750C2">
            <w:rPr>
              <w:noProof/>
              <w:lang w:val="en-US"/>
            </w:rPr>
            <w:t>(Fabozzi, Shiller, &amp; Tunaru, A Pricing Framework for Real Estate Derivatives, 2011)</w:t>
          </w:r>
          <w:r w:rsidR="006750C2">
            <w:fldChar w:fldCharType="end"/>
          </w:r>
        </w:sdtContent>
      </w:sdt>
      <w:r w:rsidR="006750C2">
        <w:t xml:space="preserve"> create</w:t>
      </w:r>
      <w:r w:rsidR="00F102E4">
        <w:t>d</w:t>
      </w:r>
      <w:r w:rsidR="006750C2">
        <w:t xml:space="preserve"> a pricing framework </w:t>
      </w:r>
      <w:r w:rsidR="00807EDF">
        <w:t xml:space="preserve">that has been the baseline for </w:t>
      </w:r>
      <w:r w:rsidR="0056433A">
        <w:t>these types of valuation models. However,</w:t>
      </w:r>
      <w:r w:rsidR="0046493A">
        <w:t xml:space="preserve"> there is</w:t>
      </w:r>
      <w:r w:rsidR="0056433A">
        <w:t xml:space="preserve"> an alternative school of thought </w:t>
      </w:r>
      <w:r w:rsidR="00EB4D43">
        <w:t>that does not rely on arbitrage</w:t>
      </w:r>
      <w:r w:rsidR="006C10F2">
        <w:t>,</w:t>
      </w:r>
      <w:r w:rsidR="00EB4D43">
        <w:t xml:space="preserve"> given its </w:t>
      </w:r>
      <w:r w:rsidR="003E142E">
        <w:t xml:space="preserve">alleged </w:t>
      </w:r>
      <w:r w:rsidR="00EB4D43">
        <w:t>departure from reality</w:t>
      </w:r>
      <w:r w:rsidR="00797479">
        <w:t xml:space="preserve"> and</w:t>
      </w:r>
      <w:r w:rsidR="00FD73F1">
        <w:t xml:space="preserve"> the </w:t>
      </w:r>
      <w:r w:rsidR="00797479">
        <w:t>complexity</w:t>
      </w:r>
      <w:r w:rsidR="00FD73F1">
        <w:t xml:space="preserve"> </w:t>
      </w:r>
      <w:r w:rsidR="00797479">
        <w:t>of</w:t>
      </w:r>
      <w:r w:rsidR="00FD73F1">
        <w:t xml:space="preserve"> select</w:t>
      </w:r>
      <w:r w:rsidR="00797479">
        <w:t>ing</w:t>
      </w:r>
      <w:r w:rsidR="00FD73F1">
        <w:t xml:space="preserve"> an appropriate stochastic process for the underlying asset</w:t>
      </w:r>
      <w:r w:rsidR="00EB4D43">
        <w:t xml:space="preserve">. </w:t>
      </w:r>
      <w:r w:rsidR="00D75194">
        <w:t xml:space="preserve">The equilibrium models </w:t>
      </w:r>
      <w:r w:rsidR="00472745">
        <w:t>prominent</w:t>
      </w:r>
      <w:r w:rsidR="00C959CE">
        <w:t xml:space="preserve"> </w:t>
      </w:r>
      <w:r w:rsidR="00496C9A">
        <w:t>work</w:t>
      </w:r>
      <w:r w:rsidR="00FD73F1">
        <w:t xml:space="preserve"> of</w:t>
      </w:r>
      <w:r w:rsidR="00496C9A">
        <w:t xml:space="preserve"> </w:t>
      </w:r>
      <w:sdt>
        <w:sdtPr>
          <w:id w:val="-1387786962"/>
          <w:citation/>
        </w:sdtPr>
        <w:sdtEndPr/>
        <w:sdtContent>
          <w:r w:rsidR="00496C9A">
            <w:fldChar w:fldCharType="begin"/>
          </w:r>
          <w:r w:rsidR="00496C9A">
            <w:rPr>
              <w:lang w:val="en-US"/>
            </w:rPr>
            <w:instrText xml:space="preserve"> CITATION Gel07 \l 1033 </w:instrText>
          </w:r>
          <w:r w:rsidR="00496C9A">
            <w:fldChar w:fldCharType="separate"/>
          </w:r>
          <w:r w:rsidR="00496C9A">
            <w:rPr>
              <w:noProof/>
              <w:lang w:val="en-US"/>
            </w:rPr>
            <w:t>(Geltner &amp; Fisher, 2007)</w:t>
          </w:r>
          <w:r w:rsidR="00496C9A">
            <w:fldChar w:fldCharType="end"/>
          </w:r>
        </w:sdtContent>
      </w:sdt>
      <w:r w:rsidR="0019488C">
        <w:t xml:space="preserve"> extended by </w:t>
      </w:r>
      <w:sdt>
        <w:sdtPr>
          <w:id w:val="-1457247369"/>
          <w:citation/>
        </w:sdtPr>
        <w:sdtEndPr/>
        <w:sdtContent>
          <w:r w:rsidR="0019488C">
            <w:fldChar w:fldCharType="begin"/>
          </w:r>
          <w:r w:rsidR="0019488C">
            <w:rPr>
              <w:lang w:val="en-US"/>
            </w:rPr>
            <w:instrText xml:space="preserve"> CITATION Liz12 \l 1033 </w:instrText>
          </w:r>
          <w:r w:rsidR="0019488C">
            <w:fldChar w:fldCharType="separate"/>
          </w:r>
          <w:r w:rsidR="0019488C">
            <w:rPr>
              <w:noProof/>
              <w:lang w:val="en-US"/>
            </w:rPr>
            <w:t>(Lizieri, Marcato, Ogden, &amp; Baum, 2012)</w:t>
          </w:r>
          <w:r w:rsidR="0019488C">
            <w:fldChar w:fldCharType="end"/>
          </w:r>
        </w:sdtContent>
      </w:sdt>
      <w:r w:rsidR="0019488C">
        <w:t xml:space="preserve">, </w:t>
      </w:r>
      <w:r w:rsidR="00C959CE">
        <w:t>was written to price futures, options and total return swa</w:t>
      </w:r>
      <w:r w:rsidR="00496C9A">
        <w:t>ps on the NPI</w:t>
      </w:r>
      <w:r w:rsidR="00733816">
        <w:t>;</w:t>
      </w:r>
      <w:r w:rsidR="00496C9A">
        <w:t xml:space="preserve"> and </w:t>
      </w:r>
      <w:r w:rsidR="00D75194">
        <w:t>concluded on</w:t>
      </w:r>
      <w:r w:rsidR="00496C9A">
        <w:t xml:space="preserve"> similar results </w:t>
      </w:r>
      <w:r w:rsidR="00D75194">
        <w:t>as standard derivatives pricing formulae</w:t>
      </w:r>
      <w:r w:rsidR="00B85488">
        <w:t xml:space="preserve">, </w:t>
      </w:r>
      <w:r w:rsidR="00FA1D27">
        <w:t>two</w:t>
      </w:r>
      <w:r w:rsidR="00AF3A0A">
        <w:t xml:space="preserve"> year</w:t>
      </w:r>
      <w:r w:rsidR="00FA1D27">
        <w:t>s</w:t>
      </w:r>
      <w:r w:rsidR="00AF3A0A">
        <w:t xml:space="preserve"> after the first NPI derivative was </w:t>
      </w:r>
      <w:r w:rsidR="00801C40">
        <w:t xml:space="preserve">issued by Credit Suisse First Boston </w:t>
      </w:r>
      <w:sdt>
        <w:sdtPr>
          <w:id w:val="1408114359"/>
          <w:citation/>
        </w:sdtPr>
        <w:sdtEndPr/>
        <w:sdtContent>
          <w:r w:rsidR="00801C40">
            <w:fldChar w:fldCharType="begin"/>
          </w:r>
          <w:r w:rsidR="00801C40">
            <w:rPr>
              <w:lang w:val="en-US"/>
            </w:rPr>
            <w:instrText xml:space="preserve"> CITATION Fis05 \l 1033 </w:instrText>
          </w:r>
          <w:r w:rsidR="00801C40">
            <w:fldChar w:fldCharType="separate"/>
          </w:r>
          <w:r w:rsidR="00801C40">
            <w:rPr>
              <w:noProof/>
              <w:lang w:val="en-US"/>
            </w:rPr>
            <w:t>(Fisher J. , 2005)</w:t>
          </w:r>
          <w:r w:rsidR="00801C40">
            <w:fldChar w:fldCharType="end"/>
          </w:r>
        </w:sdtContent>
      </w:sdt>
      <w:r w:rsidR="00FA1D27">
        <w:t>.</w:t>
      </w:r>
      <w:r>
        <w:t xml:space="preserve"> </w:t>
      </w:r>
      <w:r w:rsidR="00824F09">
        <w:t>The principal critique to these models is that the link between future</w:t>
      </w:r>
      <w:r w:rsidR="00236C44">
        <w:t>s</w:t>
      </w:r>
      <w:r w:rsidR="00824F09">
        <w:t xml:space="preserve"> prices and</w:t>
      </w:r>
      <w:r w:rsidR="00236C44">
        <w:t xml:space="preserve"> options prices </w:t>
      </w:r>
      <w:r w:rsidR="00025B0C">
        <w:t>was</w:t>
      </w:r>
      <w:r w:rsidR="00236C44">
        <w:t xml:space="preserve"> derived from the no</w:t>
      </w:r>
      <w:r w:rsidR="006B0C8B">
        <w:t>-</w:t>
      </w:r>
      <w:r w:rsidR="00236C44">
        <w:t>arbitrage principal</w:t>
      </w:r>
      <w:r w:rsidR="006B0C8B">
        <w:t xml:space="preserve"> for standard formulae</w:t>
      </w:r>
      <w:r w:rsidR="00236C44">
        <w:t xml:space="preserve"> and </w:t>
      </w:r>
      <w:r w:rsidR="00025B0C">
        <w:t xml:space="preserve">may </w:t>
      </w:r>
      <w:r w:rsidR="00236C44">
        <w:t xml:space="preserve">not </w:t>
      </w:r>
      <w:r w:rsidR="00025B0C">
        <w:t xml:space="preserve">be </w:t>
      </w:r>
      <w:r w:rsidR="00236C44">
        <w:t xml:space="preserve">supported by the equilibrium conditions, as </w:t>
      </w:r>
      <w:sdt>
        <w:sdtPr>
          <w:id w:val="-392739090"/>
          <w:citation/>
        </w:sdtPr>
        <w:sdtEndPr/>
        <w:sdtContent>
          <w:r w:rsidR="00236C44">
            <w:fldChar w:fldCharType="begin"/>
          </w:r>
          <w:r w:rsidR="00236C44">
            <w:rPr>
              <w:lang w:val="en-US"/>
            </w:rPr>
            <w:instrText xml:space="preserve"> CITATION Fab20 \l 1033 </w:instrText>
          </w:r>
          <w:r w:rsidR="00236C44">
            <w:fldChar w:fldCharType="separate"/>
          </w:r>
          <w:r w:rsidR="00236C44">
            <w:rPr>
              <w:noProof/>
              <w:lang w:val="en-US"/>
            </w:rPr>
            <w:t>(Fabozzi, Shiller, &amp; Tunaru, A 30-Year Perspective on Property Derivatives: What Can Be Done to Tame Property Price Risk?, 2020)</w:t>
          </w:r>
          <w:r w:rsidR="00236C44">
            <w:fldChar w:fldCharType="end"/>
          </w:r>
        </w:sdtContent>
      </w:sdt>
      <w:r w:rsidR="005706A8">
        <w:t xml:space="preserve"> summarizes.</w:t>
      </w:r>
    </w:p>
    <w:p w14:paraId="3398D56E" w14:textId="192B95E5" w:rsidR="00D064E4" w:rsidRPr="00437D2D" w:rsidRDefault="005706A8" w:rsidP="000249A5">
      <w:pPr>
        <w:pStyle w:val="Newparagraph"/>
        <w:jc w:val="both"/>
      </w:pPr>
      <w:r>
        <w:t>Finally</w:t>
      </w:r>
      <w:r w:rsidR="00BF07B5">
        <w:t xml:space="preserve">, it has been assumed </w:t>
      </w:r>
      <w:r w:rsidR="00DB4435">
        <w:t xml:space="preserve">so far </w:t>
      </w:r>
      <w:r w:rsidR="00BF07B5">
        <w:t xml:space="preserve">that </w:t>
      </w:r>
      <w:r w:rsidR="00F60C42">
        <w:t xml:space="preserve">real estate derivatives on price indices </w:t>
      </w:r>
      <w:r w:rsidR="00B55C41">
        <w:t>would</w:t>
      </w:r>
      <w:r w:rsidR="00F60C42">
        <w:t xml:space="preserve"> </w:t>
      </w:r>
      <w:r w:rsidR="00D76677">
        <w:t>provide</w:t>
      </w:r>
      <w:r w:rsidR="00F60C42">
        <w:t xml:space="preserve"> </w:t>
      </w:r>
      <w:r w:rsidR="00D76677">
        <w:t xml:space="preserve">a </w:t>
      </w:r>
      <w:r w:rsidR="00F60C42">
        <w:t>good hedge</w:t>
      </w:r>
      <w:r w:rsidR="00824F09">
        <w:t xml:space="preserve"> </w:t>
      </w:r>
      <w:r w:rsidR="00D76677">
        <w:t>o</w:t>
      </w:r>
      <w:r w:rsidR="00C94000">
        <w:t>f</w:t>
      </w:r>
      <w:r w:rsidR="00D76677">
        <w:t xml:space="preserve"> </w:t>
      </w:r>
      <w:r w:rsidR="00DB4435">
        <w:t>private real estate equity portfolios.</w:t>
      </w:r>
      <w:r w:rsidR="00D76677">
        <w:t xml:space="preserve"> Although there is no strong evidence otherwise,</w:t>
      </w:r>
      <w:r w:rsidR="00717535">
        <w:t xml:space="preserve"> </w:t>
      </w:r>
      <w:sdt>
        <w:sdtPr>
          <w:id w:val="138534664"/>
          <w:citation/>
        </w:sdtPr>
        <w:sdtEndPr/>
        <w:sdtContent>
          <w:r w:rsidR="00717535">
            <w:fldChar w:fldCharType="begin"/>
          </w:r>
          <w:r w:rsidR="00717535">
            <w:rPr>
              <w:lang w:val="en-US"/>
            </w:rPr>
            <w:instrText xml:space="preserve"> CITATION Duc07 \l 1033 </w:instrText>
          </w:r>
          <w:r w:rsidR="00717535">
            <w:fldChar w:fldCharType="separate"/>
          </w:r>
          <w:r w:rsidR="00717535">
            <w:rPr>
              <w:noProof/>
              <w:lang w:val="en-US"/>
            </w:rPr>
            <w:t>(Ducoulombier, 2007)</w:t>
          </w:r>
          <w:r w:rsidR="00717535">
            <w:fldChar w:fldCharType="end"/>
          </w:r>
        </w:sdtContent>
      </w:sdt>
      <w:r w:rsidR="00717535">
        <w:t xml:space="preserve"> argues that this is </w:t>
      </w:r>
      <w:r w:rsidR="0097364B">
        <w:t xml:space="preserve">a fallacy since derivatives on </w:t>
      </w:r>
      <w:r w:rsidR="00C94000">
        <w:t xml:space="preserve">indices would </w:t>
      </w:r>
      <w:r w:rsidR="002713A3">
        <w:t xml:space="preserve">not </w:t>
      </w:r>
      <w:r w:rsidR="00C94000">
        <w:t>coincide with the actual portfolio of properties</w:t>
      </w:r>
      <w:r w:rsidR="00BB17EF">
        <w:t xml:space="preserve">. This </w:t>
      </w:r>
      <w:r w:rsidR="00F77F56">
        <w:t xml:space="preserve"> creat</w:t>
      </w:r>
      <w:r w:rsidR="00BB17EF">
        <w:t>es</w:t>
      </w:r>
      <w:r w:rsidR="00F77F56">
        <w:t xml:space="preserve"> a cross-hedge basis risk exposure</w:t>
      </w:r>
      <w:r w:rsidR="004660CD">
        <w:t xml:space="preserve">, a </w:t>
      </w:r>
      <w:r w:rsidR="00F92DD2">
        <w:t>fundamental</w:t>
      </w:r>
      <w:r w:rsidR="002465EB">
        <w:t xml:space="preserve"> </w:t>
      </w:r>
      <w:r w:rsidR="004660CD">
        <w:t xml:space="preserve">problem that was already </w:t>
      </w:r>
      <w:r w:rsidR="004660CD">
        <w:lastRenderedPageBreak/>
        <w:t xml:space="preserve">identified by </w:t>
      </w:r>
      <w:sdt>
        <w:sdtPr>
          <w:id w:val="1321081508"/>
          <w:citation/>
        </w:sdtPr>
        <w:sdtEndPr/>
        <w:sdtContent>
          <w:r w:rsidR="004660CD">
            <w:fldChar w:fldCharType="begin"/>
          </w:r>
          <w:r w:rsidR="004660CD">
            <w:rPr>
              <w:lang w:val="en-US"/>
            </w:rPr>
            <w:instrText xml:space="preserve"> CITATION Par96 \l 1033 </w:instrText>
          </w:r>
          <w:r w:rsidR="004660CD">
            <w:fldChar w:fldCharType="separate"/>
          </w:r>
          <w:r w:rsidR="004660CD">
            <w:rPr>
              <w:noProof/>
              <w:lang w:val="en-US"/>
            </w:rPr>
            <w:t>(Park &amp; Switzer, 1996)</w:t>
          </w:r>
          <w:r w:rsidR="004660CD">
            <w:fldChar w:fldCharType="end"/>
          </w:r>
        </w:sdtContent>
      </w:sdt>
      <w:r w:rsidR="002465EB">
        <w:t>.</w:t>
      </w:r>
      <w:r w:rsidR="00F77F56">
        <w:t xml:space="preserve"> </w:t>
      </w:r>
      <w:r w:rsidR="002465EB">
        <w:t>Moreover,</w:t>
      </w:r>
      <w:r w:rsidR="004E3457">
        <w:t xml:space="preserve"> these derivatives</w:t>
      </w:r>
      <w:r w:rsidR="00C94000">
        <w:t xml:space="preserve"> would not expire at the same time </w:t>
      </w:r>
      <w:r w:rsidR="005E1EAF">
        <w:t xml:space="preserve">the properties are disposed, </w:t>
      </w:r>
      <w:r w:rsidR="00F77F56">
        <w:t>leading to a</w:t>
      </w:r>
      <w:r w:rsidR="002713A3">
        <w:t xml:space="preserve"> time-basis risk</w:t>
      </w:r>
      <w:r w:rsidR="00F77F56">
        <w:t xml:space="preserve">. </w:t>
      </w:r>
      <w:r w:rsidR="007D68CE">
        <w:t xml:space="preserve">In other words, </w:t>
      </w:r>
      <w:r w:rsidR="006E3369">
        <w:t xml:space="preserve">the incompleteness of the market would lead to a basis risk that </w:t>
      </w:r>
      <w:r w:rsidR="005D53F4">
        <w:t xml:space="preserve">eliminates the efficiency of the hedging strategy. </w:t>
      </w:r>
      <w:r w:rsidR="00277E74">
        <w:t>Measuring</w:t>
      </w:r>
      <w:r w:rsidR="005D53F4">
        <w:t xml:space="preserve"> the cross-hedge basis risk is the </w:t>
      </w:r>
      <w:r w:rsidR="00641884">
        <w:t>primary</w:t>
      </w:r>
      <w:r w:rsidR="005D53F4">
        <w:t xml:space="preserve"> p</w:t>
      </w:r>
      <w:r w:rsidR="00E419F9">
        <w:t>urpose of this article.</w:t>
      </w:r>
      <w:r w:rsidR="00641884">
        <w:t xml:space="preserve"> Time-basis risk will not be discussed.</w:t>
      </w:r>
    </w:p>
    <w:p w14:paraId="425F47A9" w14:textId="676131FC" w:rsidR="00C33915" w:rsidRDefault="00C33915" w:rsidP="00C33915">
      <w:pPr>
        <w:pStyle w:val="Heading1"/>
      </w:pPr>
      <w:r>
        <w:t>M</w:t>
      </w:r>
      <w:r w:rsidR="00A67A52">
        <w:t>ethodology</w:t>
      </w:r>
    </w:p>
    <w:p w14:paraId="1404AD5E" w14:textId="218915F8" w:rsidR="003B3A1D" w:rsidRDefault="003B3A1D" w:rsidP="003B3A1D">
      <w:pPr>
        <w:pStyle w:val="Heading2"/>
      </w:pPr>
      <w:r>
        <w:t>Measuring Basis Risk</w:t>
      </w:r>
    </w:p>
    <w:p w14:paraId="14991F3D" w14:textId="2BC97049" w:rsidR="00AD790B" w:rsidRDefault="00AD790B" w:rsidP="00AD790B">
      <w:pPr>
        <w:pStyle w:val="Paragraph"/>
        <w:jc w:val="both"/>
      </w:pPr>
      <w:r>
        <w:t>There are multiple reasons why hedging strategies using derivatives might not be perfect. Real estate private equity portfolios are unique, and there is no possibility of shorting a share on these assets. Therefore, investment managers using derivates to hedge their real estate position shall use a similar asset (usually a property price index) for their short position, what is known as cross-hedging strategy. Also, while the investment horizon of the properties could go as far as ten years (or more), the hedg</w:t>
      </w:r>
      <w:r w:rsidR="00C8550A">
        <w:t>ing</w:t>
      </w:r>
      <w:r>
        <w:t xml:space="preserve"> strategy might last for at most five years, </w:t>
      </w:r>
      <w:r w:rsidR="00273052">
        <w:t xml:space="preserve">only </w:t>
      </w:r>
      <w:r>
        <w:t xml:space="preserve">while the economic turmoil remains. This is known as the horizon of the hedge. Following </w:t>
      </w:r>
      <w:sdt>
        <w:sdtPr>
          <w:id w:val="-1863200266"/>
          <w:citation/>
        </w:sdtPr>
        <w:sdtEndPr/>
        <w:sdtContent>
          <w:r>
            <w:fldChar w:fldCharType="begin"/>
          </w:r>
          <w:r>
            <w:rPr>
              <w:lang w:val="en-US"/>
            </w:rPr>
            <w:instrText xml:space="preserve"> CITATION Jor11 \l 1033 </w:instrText>
          </w:r>
          <w:r>
            <w:fldChar w:fldCharType="separate"/>
          </w:r>
          <w:r w:rsidR="00A9403C">
            <w:rPr>
              <w:noProof/>
              <w:lang w:val="en-US"/>
            </w:rPr>
            <w:t>(Jorion, 2011)</w:t>
          </w:r>
          <w:r>
            <w:fldChar w:fldCharType="end"/>
          </w:r>
        </w:sdtContent>
      </w:sdt>
      <w:r>
        <w:t>, these imperfections on a hedging strategy are measured by the basis</w:t>
      </w:r>
      <w:r w:rsidR="0028012B">
        <w:t>. The basis is the</w:t>
      </w:r>
      <w:r>
        <w:t xml:space="preserve"> difference between the spot portfolio price and the position on the hedging derivative. The periodical change in the total value (V) of the strategy, including the hedge, is:</w:t>
      </w:r>
    </w:p>
    <w:p w14:paraId="515018FD" w14:textId="77777777" w:rsidR="00AD790B" w:rsidRPr="002B6C5F" w:rsidRDefault="00AD790B" w:rsidP="00AD790B">
      <w:pPr>
        <w:pStyle w:val="Displayedequation"/>
      </w:pPr>
      <w:r>
        <w:tab/>
      </w:r>
      <m:oMath>
        <m:r>
          <m:rPr>
            <m:sty m:val="p"/>
          </m:rPr>
          <w:rPr>
            <w:rFonts w:ascii="Cambria Math" w:hAnsi="Cambria Math"/>
          </w:rPr>
          <m:t>Δ</m:t>
        </m:r>
        <m:r>
          <w:rPr>
            <w:rFonts w:ascii="Cambria Math" w:hAnsi="Cambria Math"/>
          </w:rPr>
          <m:t>V=</m:t>
        </m:r>
        <m:r>
          <m:rPr>
            <m:sty m:val="p"/>
          </m:rPr>
          <w:rPr>
            <w:rFonts w:ascii="Cambria Math" w:hAnsi="Cambria Math"/>
          </w:rPr>
          <m:t>ΔS+NΔF.</m:t>
        </m:r>
      </m:oMath>
      <w:r>
        <w:tab/>
        <w:t>(1)</w:t>
      </w:r>
    </w:p>
    <w:p w14:paraId="08DB73BC" w14:textId="3DB05275" w:rsidR="00AD790B" w:rsidRDefault="00AD790B" w:rsidP="00AD790B">
      <w:pPr>
        <w:pStyle w:val="Newparagraph"/>
        <w:jc w:val="both"/>
      </w:pPr>
      <w:r>
        <w:t xml:space="preserve">S stands for the spot price of the portfolio, F for an individual derivative contract price and N for the number of contracts written. The </w:t>
      </w:r>
      <w:r w:rsidR="009917C2">
        <w:t xml:space="preserve">optimal </w:t>
      </w:r>
      <w:r>
        <w:t xml:space="preserve">number of contracts used </w:t>
      </w:r>
      <w:r w:rsidR="009917C2">
        <w:t xml:space="preserve">(N*) </w:t>
      </w:r>
      <w:r>
        <w:t>must be the one that minimizes the variance of the total strategy. For the scope of this study, it is important to mention that it can be derived from the slope of the equation:</w:t>
      </w:r>
    </w:p>
    <w:p w14:paraId="51573452" w14:textId="67C58F1F" w:rsidR="00AD790B" w:rsidRDefault="00AD790B" w:rsidP="004451F7">
      <w:pPr>
        <w:pStyle w:val="Displayedequation"/>
      </w:pPr>
      <w:r>
        <w:lastRenderedPageBreak/>
        <w:tab/>
      </w:r>
      <m:oMath>
        <m:f>
          <m:fPr>
            <m:ctrlPr>
              <w:rPr>
                <w:rFonts w:ascii="Cambria Math" w:hAnsi="Cambria Math"/>
                <w:i/>
              </w:rPr>
            </m:ctrlPr>
          </m:fPr>
          <m:num>
            <m:r>
              <m:rPr>
                <m:sty m:val="p"/>
              </m:rPr>
              <w:rPr>
                <w:rFonts w:ascii="Cambria Math" w:hAnsi="Cambria Math"/>
              </w:rPr>
              <m:t>ΔS</m:t>
            </m:r>
          </m:num>
          <m:den>
            <m:r>
              <w:rPr>
                <w:rFonts w:ascii="Cambria Math" w:hAnsi="Cambria Math"/>
              </w:rPr>
              <m:t>S</m:t>
            </m:r>
          </m:den>
        </m:f>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SF</m:t>
            </m:r>
          </m:sub>
        </m:sSub>
        <m:f>
          <m:fPr>
            <m:ctrlPr>
              <w:rPr>
                <w:rFonts w:ascii="Cambria Math" w:hAnsi="Cambria Math"/>
                <w:i/>
              </w:rPr>
            </m:ctrlPr>
          </m:fPr>
          <m:num>
            <m:r>
              <m:rPr>
                <m:sty m:val="p"/>
              </m:rPr>
              <w:rPr>
                <w:rFonts w:ascii="Cambria Math" w:hAnsi="Cambria Math"/>
              </w:rPr>
              <m:t>ΔF</m:t>
            </m:r>
          </m:num>
          <m:den>
            <m:r>
              <w:rPr>
                <w:rFonts w:ascii="Cambria Math" w:hAnsi="Cambria Math"/>
              </w:rPr>
              <m:t>F</m:t>
            </m:r>
          </m:den>
        </m:f>
        <m:r>
          <w:rPr>
            <w:rFonts w:ascii="Cambria Math" w:hAnsi="Cambria Math"/>
          </w:rPr>
          <m:t>+ε.</m:t>
        </m:r>
      </m:oMath>
      <w:r>
        <w:tab/>
        <w:t>(2)</w:t>
      </w:r>
    </w:p>
    <w:p w14:paraId="5791EF4E" w14:textId="4F7305BE" w:rsidR="009073B5" w:rsidRDefault="005C00B4" w:rsidP="00AD790B">
      <w:pPr>
        <w:pStyle w:val="Newparagraph"/>
        <w:jc w:val="both"/>
      </w:pPr>
      <w:r>
        <w:t xml:space="preserve">Therefore, </w:t>
      </w:r>
      <w:r w:rsidR="009D731E">
        <w:t xml:space="preserve">the methodology followed in this study to </w:t>
      </w:r>
      <w:r w:rsidR="00116625">
        <w:t>assess</w:t>
      </w:r>
      <w:r w:rsidR="009917C2">
        <w:t xml:space="preserve"> whether</w:t>
      </w:r>
      <w:r w:rsidR="009D731E">
        <w:t xml:space="preserve"> using nation-wide aggregates to hedge </w:t>
      </w:r>
      <w:r w:rsidR="009917C2">
        <w:t xml:space="preserve">real estate equity </w:t>
      </w:r>
      <w:r w:rsidR="009D731E">
        <w:t xml:space="preserve">portfolio </w:t>
      </w:r>
      <w:r w:rsidR="00EF03BA">
        <w:t>is appropriate or not</w:t>
      </w:r>
      <w:r w:rsidR="009917C2">
        <w:t>,</w:t>
      </w:r>
      <w:r w:rsidR="00EF03BA">
        <w:t xml:space="preserve"> is to</w:t>
      </w:r>
      <w:r w:rsidR="00BB2A98">
        <w:t xml:space="preserve"> evaluat</w:t>
      </w:r>
      <w:r w:rsidR="00116625">
        <w:t>e</w:t>
      </w:r>
      <w:r w:rsidR="00BB2A98">
        <w:t xml:space="preserve"> the statistical significance of the slope </w:t>
      </w:r>
      <w:r w:rsidR="00525A51">
        <w:t>i</w:t>
      </w:r>
      <w:r w:rsidR="00BB2A98">
        <w:t>n equation (2).</w:t>
      </w:r>
      <w:r w:rsidR="007C27E2">
        <w:t xml:space="preserve"> If there are no</w:t>
      </w:r>
      <w:r w:rsidR="00A66F95">
        <w:t xml:space="preserve"> statistical</w:t>
      </w:r>
      <w:r w:rsidR="007C27E2">
        <w:t xml:space="preserve"> reasons to believe that </w:t>
      </w:r>
      <w:r w:rsidR="00544EB7">
        <w:t>the slope is different</w:t>
      </w:r>
      <w:r w:rsidR="00F50B6B">
        <w:t xml:space="preserve"> from</w:t>
      </w:r>
      <w:r w:rsidR="00544EB7">
        <w:t xml:space="preserve"> 0, the hedge will be considered </w:t>
      </w:r>
      <w:r w:rsidR="00525A51">
        <w:t>inappropriate</w:t>
      </w:r>
      <w:r w:rsidR="00544EB7">
        <w:t xml:space="preserve"> since the optimal number of contracts is 0.</w:t>
      </w:r>
      <w:r w:rsidR="00BB2A98">
        <w:t xml:space="preserve"> </w:t>
      </w:r>
      <w:r w:rsidR="00EF03BA">
        <w:t xml:space="preserve"> </w:t>
      </w:r>
    </w:p>
    <w:p w14:paraId="70A53506" w14:textId="34BB77D1" w:rsidR="003B3A1D" w:rsidRDefault="003E2EE2" w:rsidP="004A6D4E">
      <w:pPr>
        <w:pStyle w:val="Newparagraph"/>
        <w:jc w:val="both"/>
      </w:pPr>
      <w:r>
        <w:t xml:space="preserve">NCREIF property type </w:t>
      </w:r>
      <w:r w:rsidR="002252AD">
        <w:t xml:space="preserve">and regional </w:t>
      </w:r>
      <w:r w:rsidR="00C25F96">
        <w:t>subindexes</w:t>
      </w:r>
      <w:r>
        <w:t xml:space="preserve"> </w:t>
      </w:r>
      <w:r w:rsidR="000E6332">
        <w:t>are</w:t>
      </w:r>
      <w:r>
        <w:t xml:space="preserve"> used to</w:t>
      </w:r>
      <w:r w:rsidR="009170E5">
        <w:t xml:space="preserve"> calculate </w:t>
      </w:r>
      <w:r w:rsidR="00043E90">
        <w:t xml:space="preserve">the </w:t>
      </w:r>
      <w:r w:rsidR="009170E5">
        <w:t>market</w:t>
      </w:r>
      <w:r w:rsidR="004F4B51">
        <w:t xml:space="preserve"> price process</w:t>
      </w:r>
      <w:r w:rsidR="00AA4F28">
        <w:t>es</w:t>
      </w:r>
      <w:r w:rsidR="004F4B51">
        <w:t xml:space="preserve"> for each subindex</w:t>
      </w:r>
      <w:r w:rsidR="00FE0F7C">
        <w:t>, leading</w:t>
      </w:r>
      <w:r w:rsidR="00880C69">
        <w:t xml:space="preserve"> </w:t>
      </w:r>
      <w:r w:rsidR="00B7599B">
        <w:t>877</w:t>
      </w:r>
      <w:r w:rsidR="0043382D">
        <w:t xml:space="preserve"> + XXX</w:t>
      </w:r>
      <w:r w:rsidR="00880C69">
        <w:t xml:space="preserve"> </w:t>
      </w:r>
      <w:r w:rsidR="002102D6">
        <w:t>investment managers</w:t>
      </w:r>
      <w:r w:rsidR="0043382D">
        <w:t xml:space="preserve"> simulated</w:t>
      </w:r>
      <w:r w:rsidR="002102D6">
        <w:t xml:space="preserve"> portfolios</w:t>
      </w:r>
      <w:r w:rsidR="00FE0F7C">
        <w:t xml:space="preserve">. These </w:t>
      </w:r>
      <w:r w:rsidR="0043382D">
        <w:t>portfolios</w:t>
      </w:r>
      <w:r w:rsidR="000E6332">
        <w:t xml:space="preserve"> are</w:t>
      </w:r>
      <w:r w:rsidR="00880C69">
        <w:t xml:space="preserve"> </w:t>
      </w:r>
      <w:r w:rsidR="0043382D">
        <w:t>built by varying the weight of each subindex</w:t>
      </w:r>
      <w:r w:rsidR="004B2235">
        <w:t xml:space="preserve"> by 10% in each portfolio, such that there is always a 100% w</w:t>
      </w:r>
      <w:r w:rsidR="00043E90">
        <w:t>e</w:t>
      </w:r>
      <w:r w:rsidR="004B2235">
        <w:t>ight in real estate assets</w:t>
      </w:r>
      <w:r w:rsidR="000F139C">
        <w:t>. For example, one portfolio could be 40% Apartments, 30% Office</w:t>
      </w:r>
      <w:r w:rsidR="00043E90">
        <w:t>,</w:t>
      </w:r>
      <w:r w:rsidR="000F139C">
        <w:t xml:space="preserve"> and 30% Hospitality</w:t>
      </w:r>
      <w:r w:rsidR="002D7218">
        <w:t xml:space="preserve">, assuming no short-selling and no </w:t>
      </w:r>
      <w:r w:rsidR="007017EC">
        <w:t>leverage</w:t>
      </w:r>
      <w:r w:rsidR="002D7218">
        <w:t xml:space="preserve">. </w:t>
      </w:r>
      <w:r w:rsidR="00830DFB">
        <w:t>Property type subindices lead to 877 portfolios, while regional subindices lead to XXX portfolios. R</w:t>
      </w:r>
      <w:r w:rsidR="0047250E">
        <w:t xml:space="preserve">eal estate index derivatives usually last from 3 to 5 years, </w:t>
      </w:r>
      <w:r w:rsidR="00162790">
        <w:t>while there</w:t>
      </w:r>
      <w:r w:rsidR="004E3FD4">
        <w:t xml:space="preserve"> are more than 30 years of history for the NPI. </w:t>
      </w:r>
      <w:r w:rsidR="00162790">
        <w:t xml:space="preserve">Thus, multiple </w:t>
      </w:r>
      <w:r w:rsidR="007017EC">
        <w:t>3- and 5-year</w:t>
      </w:r>
      <w:r w:rsidR="00162790">
        <w:t xml:space="preserve"> windows will be used to calculate the slope of equation (2) and it</w:t>
      </w:r>
      <w:r w:rsidR="007017EC">
        <w:t>s</w:t>
      </w:r>
      <w:r w:rsidR="00162790">
        <w:t xml:space="preserve"> p-value</w:t>
      </w:r>
      <w:r w:rsidR="007C27E2">
        <w:t xml:space="preserve"> for each of the replication portfolios</w:t>
      </w:r>
      <w:r w:rsidR="005C1068">
        <w:t xml:space="preserve">, using expiration dates raging </w:t>
      </w:r>
      <w:r w:rsidR="001F7DC1">
        <w:t>2000</w:t>
      </w:r>
      <w:r w:rsidR="005C1068">
        <w:t xml:space="preserve">-Q1 </w:t>
      </w:r>
      <w:r w:rsidR="0010726A">
        <w:t>to 2020-Q1 for the 3 years derivatives and from 199</w:t>
      </w:r>
      <w:r w:rsidR="001F7DC1">
        <w:t>8</w:t>
      </w:r>
      <w:r w:rsidR="0010726A">
        <w:t>-Q1 to 2020-Q1 for the 5 years derivatives</w:t>
      </w:r>
      <w:r w:rsidR="007C27E2">
        <w:t xml:space="preserve">. </w:t>
      </w:r>
      <w:r w:rsidR="0010726A">
        <w:t>Notice that t</w:t>
      </w:r>
      <w:r w:rsidR="00A77309">
        <w:t xml:space="preserve">he spot price is represented by the different portfolios of property type </w:t>
      </w:r>
      <w:r w:rsidR="007B5899">
        <w:t xml:space="preserve">(or regional) </w:t>
      </w:r>
      <w:r w:rsidR="00C25F96">
        <w:t>subindexes</w:t>
      </w:r>
      <w:r w:rsidR="00A77309">
        <w:t xml:space="preserve">, while the derivative </w:t>
      </w:r>
      <w:r w:rsidR="0010726A">
        <w:t xml:space="preserve">price is the one for the </w:t>
      </w:r>
      <w:r w:rsidR="00A77309">
        <w:t xml:space="preserve">contract written on the NPI. </w:t>
      </w:r>
      <w:r w:rsidR="007C27E2">
        <w:t>The num</w:t>
      </w:r>
      <w:r w:rsidR="00525A51">
        <w:t xml:space="preserve">ber of </w:t>
      </w:r>
      <w:r w:rsidR="00476AEA">
        <w:t>adequately</w:t>
      </w:r>
      <w:r w:rsidR="00525A51">
        <w:t xml:space="preserve"> hedged </w:t>
      </w:r>
      <w:r w:rsidR="00955548">
        <w:t>portfolios</w:t>
      </w:r>
      <w:r w:rsidR="00FF5778">
        <w:t xml:space="preserve"> for each of the hedging strategies</w:t>
      </w:r>
      <w:r w:rsidR="00955548">
        <w:t xml:space="preserve">, </w:t>
      </w:r>
      <w:r w:rsidR="00476AEA">
        <w:t>relative</w:t>
      </w:r>
      <w:r w:rsidR="00955548">
        <w:t xml:space="preserve"> to the total number of evaluated portfolios</w:t>
      </w:r>
      <w:r w:rsidR="004A6D4E">
        <w:t>,</w:t>
      </w:r>
      <w:r w:rsidR="00955548">
        <w:t xml:space="preserve"> </w:t>
      </w:r>
      <w:r w:rsidR="00460314">
        <w:t>for each expiration date</w:t>
      </w:r>
      <w:r w:rsidR="00FF5778">
        <w:t xml:space="preserve"> and time to maturity</w:t>
      </w:r>
      <w:r w:rsidR="00955548">
        <w:t xml:space="preserve">, </w:t>
      </w:r>
      <w:r w:rsidR="004A6D4E">
        <w:t xml:space="preserve">is the key metric in this study. </w:t>
      </w:r>
    </w:p>
    <w:p w14:paraId="5A03911F" w14:textId="2B5AA4FE" w:rsidR="004A6D4E" w:rsidRPr="003B3A1D" w:rsidRDefault="004A6D4E" w:rsidP="004A6D4E">
      <w:pPr>
        <w:pStyle w:val="Newparagraph"/>
        <w:jc w:val="both"/>
      </w:pPr>
      <w:r>
        <w:t>The only variable that has not bee</w:t>
      </w:r>
      <w:r w:rsidR="005D0CBD">
        <w:t>n</w:t>
      </w:r>
      <w:r>
        <w:t xml:space="preserve"> well defined to this point is the price of the derivative </w:t>
      </w:r>
      <w:r w:rsidR="005D0CBD">
        <w:t>(</w:t>
      </w:r>
      <w:r>
        <w:t>F</w:t>
      </w:r>
      <w:r w:rsidR="005D0CBD">
        <w:t>)</w:t>
      </w:r>
      <w:r>
        <w:t xml:space="preserve"> that will be used on each case. That is the topic of the next subsection.</w:t>
      </w:r>
    </w:p>
    <w:p w14:paraId="619BC256" w14:textId="02BD4598" w:rsidR="003B3A1D" w:rsidRDefault="006F5361" w:rsidP="003B3A1D">
      <w:pPr>
        <w:pStyle w:val="Heading2"/>
      </w:pPr>
      <w:r>
        <w:lastRenderedPageBreak/>
        <w:t>Pricing real estate derivatives</w:t>
      </w:r>
    </w:p>
    <w:p w14:paraId="17A9B5C9" w14:textId="12718158" w:rsidR="004C7686" w:rsidRDefault="00610894" w:rsidP="00A16E58">
      <w:pPr>
        <w:pStyle w:val="Paragraph"/>
        <w:jc w:val="both"/>
        <w:rPr>
          <w:lang w:val="en-US"/>
        </w:rPr>
      </w:pPr>
      <w:r>
        <w:rPr>
          <w:lang w:val="en-US"/>
        </w:rPr>
        <w:t xml:space="preserve">Two strategies are used to </w:t>
      </w:r>
      <w:r w:rsidR="00A80299">
        <w:rPr>
          <w:lang w:val="en-US"/>
        </w:rPr>
        <w:t>hedge</w:t>
      </w:r>
      <w:r>
        <w:rPr>
          <w:lang w:val="en-US"/>
        </w:rPr>
        <w:t xml:space="preserve"> the simulated portfolios: futures and </w:t>
      </w:r>
      <w:r w:rsidR="00A80299">
        <w:rPr>
          <w:lang w:val="en-US"/>
        </w:rPr>
        <w:t>protective puts</w:t>
      </w:r>
      <w:r>
        <w:rPr>
          <w:lang w:val="en-US"/>
        </w:rPr>
        <w:t xml:space="preserve">. </w:t>
      </w:r>
      <w:r w:rsidR="00A80299">
        <w:rPr>
          <w:lang w:val="en-US"/>
        </w:rPr>
        <w:t>The derivatives are priced using</w:t>
      </w:r>
      <w:r w:rsidR="000F0895" w:rsidRPr="00B46CDC">
        <w:rPr>
          <w:lang w:val="en-US"/>
        </w:rPr>
        <w:t xml:space="preserve"> </w:t>
      </w:r>
      <w:r w:rsidR="00EB7F9F" w:rsidRPr="00B46CDC">
        <w:rPr>
          <w:lang w:val="en-US"/>
        </w:rPr>
        <w:t xml:space="preserve">the BFSP methodology developed by </w:t>
      </w:r>
      <w:sdt>
        <w:sdtPr>
          <w:rPr>
            <w:lang w:val="en-US"/>
          </w:rPr>
          <w:id w:val="244083399"/>
          <w:citation/>
        </w:sdtPr>
        <w:sdtEndPr/>
        <w:sdtContent>
          <w:r w:rsidR="00EB7F9F" w:rsidRPr="00B46CDC">
            <w:rPr>
              <w:lang w:val="en-US"/>
            </w:rPr>
            <w:fldChar w:fldCharType="begin"/>
          </w:r>
          <w:r w:rsidR="00EB7F9F" w:rsidRPr="00B46CDC">
            <w:rPr>
              <w:lang w:val="en-US"/>
            </w:rPr>
            <w:instrText xml:space="preserve"> CITATION Van02 \l 1033 </w:instrText>
          </w:r>
          <w:r w:rsidR="00EB7F9F" w:rsidRPr="00B46CDC">
            <w:rPr>
              <w:lang w:val="en-US"/>
            </w:rPr>
            <w:fldChar w:fldCharType="separate"/>
          </w:r>
          <w:r w:rsidR="00EB7F9F" w:rsidRPr="00B46CDC">
            <w:rPr>
              <w:noProof/>
              <w:lang w:val="en-US"/>
            </w:rPr>
            <w:t>(Van Bragt D. , Francke, Kramer, &amp; Pelsser, 2009)</w:t>
          </w:r>
          <w:r w:rsidR="00EB7F9F" w:rsidRPr="00B46CDC">
            <w:rPr>
              <w:lang w:val="en-US"/>
            </w:rPr>
            <w:fldChar w:fldCharType="end"/>
          </w:r>
        </w:sdtContent>
      </w:sdt>
      <w:r w:rsidR="00EB7F9F" w:rsidRPr="00B46CDC">
        <w:rPr>
          <w:lang w:val="en-US"/>
        </w:rPr>
        <w:t xml:space="preserve"> and </w:t>
      </w:r>
      <w:sdt>
        <w:sdtPr>
          <w:rPr>
            <w:lang w:val="en-US"/>
          </w:rPr>
          <w:id w:val="-1167319719"/>
          <w:citation/>
        </w:sdtPr>
        <w:sdtEndPr/>
        <w:sdtContent>
          <w:r w:rsidR="00EB7F9F" w:rsidRPr="00B46CDC">
            <w:rPr>
              <w:lang w:val="en-US"/>
            </w:rPr>
            <w:fldChar w:fldCharType="begin"/>
          </w:r>
          <w:r w:rsidR="00EB7F9F" w:rsidRPr="00B46CDC">
            <w:rPr>
              <w:lang w:val="en-US"/>
            </w:rPr>
            <w:instrText xml:space="preserve"> CITATION Van15 \l 1033 </w:instrText>
          </w:r>
          <w:r w:rsidR="00EB7F9F" w:rsidRPr="00B46CDC">
            <w:rPr>
              <w:lang w:val="en-US"/>
            </w:rPr>
            <w:fldChar w:fldCharType="separate"/>
          </w:r>
          <w:r w:rsidR="00EB7F9F" w:rsidRPr="00B46CDC">
            <w:rPr>
              <w:noProof/>
              <w:lang w:val="en-US"/>
            </w:rPr>
            <w:t>(Van Bragt D. , Francke, Singor, &amp; Pelsser, 2015)</w:t>
          </w:r>
          <w:r w:rsidR="00EB7F9F" w:rsidRPr="00B46CDC">
            <w:rPr>
              <w:lang w:val="en-US"/>
            </w:rPr>
            <w:fldChar w:fldCharType="end"/>
          </w:r>
        </w:sdtContent>
      </w:sdt>
      <w:r w:rsidR="00EB7F9F" w:rsidRPr="00B46CDC">
        <w:rPr>
          <w:lang w:val="en-US"/>
        </w:rPr>
        <w:t xml:space="preserve">. </w:t>
      </w:r>
      <w:r w:rsidR="00C94721" w:rsidRPr="00B46CDC">
        <w:rPr>
          <w:lang w:val="en-US"/>
        </w:rPr>
        <w:t xml:space="preserve">This </w:t>
      </w:r>
      <w:r w:rsidR="008E0590">
        <w:rPr>
          <w:lang w:val="en-US"/>
        </w:rPr>
        <w:t>risk-neutral</w:t>
      </w:r>
      <w:r w:rsidR="00C94721" w:rsidRPr="00B46CDC">
        <w:rPr>
          <w:lang w:val="en-US"/>
        </w:rPr>
        <w:t xml:space="preserve"> model is of particular interest for this work because it </w:t>
      </w:r>
      <w:r w:rsidR="00AE7369" w:rsidRPr="00B46CDC">
        <w:rPr>
          <w:lang w:val="en-US"/>
        </w:rPr>
        <w:t>allows for high-frequency (monthly or quarterly)</w:t>
      </w:r>
      <w:r w:rsidR="00B46CDC" w:rsidRPr="00B46CDC">
        <w:rPr>
          <w:lang w:val="en-US"/>
        </w:rPr>
        <w:t xml:space="preserve"> real estate</w:t>
      </w:r>
      <w:r w:rsidR="00AE7369" w:rsidRPr="00B46CDC">
        <w:rPr>
          <w:lang w:val="en-US"/>
        </w:rPr>
        <w:t xml:space="preserve"> derivatives in </w:t>
      </w:r>
      <w:r w:rsidR="00A80299">
        <w:rPr>
          <w:lang w:val="en-US"/>
        </w:rPr>
        <w:t>i</w:t>
      </w:r>
      <w:r w:rsidR="00AE7369" w:rsidRPr="00B46CDC">
        <w:rPr>
          <w:lang w:val="en-US"/>
        </w:rPr>
        <w:t xml:space="preserve">ncomplete markets with serial correlation. </w:t>
      </w:r>
      <w:r w:rsidR="00B46CDC">
        <w:rPr>
          <w:lang w:val="en-US"/>
        </w:rPr>
        <w:t>Th</w:t>
      </w:r>
      <w:r w:rsidR="00A341E8">
        <w:rPr>
          <w:lang w:val="en-US"/>
        </w:rPr>
        <w:t xml:space="preserve">e dynamics of the model rely on the </w:t>
      </w:r>
      <w:r w:rsidR="006B33B2">
        <w:rPr>
          <w:lang w:val="en-US"/>
        </w:rPr>
        <w:t xml:space="preserve">index </w:t>
      </w:r>
      <w:r w:rsidR="00A341E8">
        <w:rPr>
          <w:lang w:val="en-US"/>
        </w:rPr>
        <w:t xml:space="preserve">price update rule proposed by </w:t>
      </w:r>
      <w:sdt>
        <w:sdtPr>
          <w:rPr>
            <w:lang w:val="en-US"/>
          </w:rPr>
          <w:id w:val="-237630462"/>
          <w:citation/>
        </w:sdtPr>
        <w:sdtEndPr/>
        <w:sdtContent>
          <w:r w:rsidR="008F7877">
            <w:rPr>
              <w:lang w:val="en-US"/>
            </w:rPr>
            <w:fldChar w:fldCharType="begin"/>
          </w:r>
          <w:r w:rsidR="008F7877">
            <w:rPr>
              <w:lang w:val="en-US"/>
            </w:rPr>
            <w:instrText xml:space="preserve"> CITATION Blu87 \l 1033 </w:instrText>
          </w:r>
          <w:r w:rsidR="008F7877">
            <w:rPr>
              <w:lang w:val="en-US"/>
            </w:rPr>
            <w:fldChar w:fldCharType="separate"/>
          </w:r>
          <w:r w:rsidR="008F7877">
            <w:rPr>
              <w:noProof/>
              <w:lang w:val="en-US"/>
            </w:rPr>
            <w:t>(Blundell &amp; Ward, 1987)</w:t>
          </w:r>
          <w:r w:rsidR="008F7877">
            <w:rPr>
              <w:lang w:val="en-US"/>
            </w:rPr>
            <w:fldChar w:fldCharType="end"/>
          </w:r>
        </w:sdtContent>
      </w:sdt>
      <w:r w:rsidR="003A68F2">
        <w:rPr>
          <w:lang w:val="en-US"/>
        </w:rPr>
        <w:t xml:space="preserve"> th</w:t>
      </w:r>
      <w:r w:rsidR="006B33B2">
        <w:rPr>
          <w:lang w:val="en-US"/>
        </w:rPr>
        <w:t>at weights</w:t>
      </w:r>
      <w:r w:rsidR="003A68F2">
        <w:rPr>
          <w:lang w:val="en-US"/>
        </w:rPr>
        <w:t xml:space="preserve"> </w:t>
      </w:r>
      <w:r w:rsidR="00F05C5B">
        <w:rPr>
          <w:lang w:val="en-US"/>
        </w:rPr>
        <w:t xml:space="preserve">the </w:t>
      </w:r>
      <w:r w:rsidR="003A68F2">
        <w:rPr>
          <w:lang w:val="en-US"/>
        </w:rPr>
        <w:t>current time (</w:t>
      </w:r>
      <w:r w:rsidR="003A68F2" w:rsidRPr="00E73CCD">
        <w:rPr>
          <w:lang w:val="en-US"/>
        </w:rPr>
        <w:t>t</w:t>
      </w:r>
      <w:r w:rsidR="003A68F2">
        <w:rPr>
          <w:lang w:val="en-US"/>
        </w:rPr>
        <w:t xml:space="preserve">) </w:t>
      </w:r>
      <w:r w:rsidR="00657BF7">
        <w:rPr>
          <w:lang w:val="en-US"/>
        </w:rPr>
        <w:t>real estate</w:t>
      </w:r>
      <w:r w:rsidR="00340914">
        <w:rPr>
          <w:lang w:val="en-US"/>
        </w:rPr>
        <w:t xml:space="preserve"> efficient</w:t>
      </w:r>
      <w:r w:rsidR="00657BF7">
        <w:rPr>
          <w:lang w:val="en-US"/>
        </w:rPr>
        <w:t xml:space="preserve"> </w:t>
      </w:r>
      <w:r w:rsidR="006B33B2">
        <w:rPr>
          <w:lang w:val="en-US"/>
        </w:rPr>
        <w:t>market</w:t>
      </w:r>
      <w:r w:rsidR="003A68F2">
        <w:rPr>
          <w:lang w:val="en-US"/>
        </w:rPr>
        <w:t xml:space="preserve"> value </w:t>
      </w:r>
      <w:r w:rsidR="006B33B2">
        <w:rPr>
          <w:lang w:val="en-US"/>
        </w:rPr>
        <w:t xml:space="preserve">and </w:t>
      </w:r>
      <w:r w:rsidR="008E0590">
        <w:rPr>
          <w:lang w:val="en-US"/>
        </w:rPr>
        <w:t xml:space="preserve">the </w:t>
      </w:r>
      <w:r w:rsidR="006B33B2">
        <w:rPr>
          <w:lang w:val="en-US"/>
        </w:rPr>
        <w:t xml:space="preserve">lagged </w:t>
      </w:r>
      <w:r w:rsidR="00BC2E2D">
        <w:rPr>
          <w:lang w:val="en-US"/>
        </w:rPr>
        <w:t>index value</w:t>
      </w:r>
      <w:r w:rsidR="00E73CCD">
        <w:rPr>
          <w:lang w:val="en-US"/>
        </w:rPr>
        <w:t>, wh</w:t>
      </w:r>
      <w:r w:rsidR="00FC7D41">
        <w:rPr>
          <w:lang w:val="en-US"/>
        </w:rPr>
        <w:t>ich</w:t>
      </w:r>
      <w:r w:rsidR="00E73CCD">
        <w:rPr>
          <w:lang w:val="en-US"/>
        </w:rPr>
        <w:t xml:space="preserve"> leads to an EWMA </w:t>
      </w:r>
      <w:r w:rsidR="00700528">
        <w:rPr>
          <w:lang w:val="en-US"/>
        </w:rPr>
        <w:t xml:space="preserve">risk-neutral process for the </w:t>
      </w:r>
      <w:r w:rsidR="00E73CCD">
        <w:rPr>
          <w:lang w:val="en-US"/>
        </w:rPr>
        <w:t>price</w:t>
      </w:r>
      <w:r w:rsidR="00700528">
        <w:rPr>
          <w:lang w:val="en-US"/>
        </w:rPr>
        <w:t xml:space="preserve"> index given by</w:t>
      </w:r>
    </w:p>
    <w:p w14:paraId="0B3DE66D" w14:textId="02C78780" w:rsidR="00237C5B" w:rsidRDefault="00A16E58" w:rsidP="00237C5B">
      <w:pPr>
        <w:pStyle w:val="Displayedequation"/>
      </w:pPr>
      <w:r>
        <w:tab/>
      </w:r>
      <m:oMath>
        <m:r>
          <w:rPr>
            <w:rFonts w:ascii="Cambria Math" w:hAnsi="Cambria Math"/>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=K</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m</m:t>
            </m:r>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1-K</m:t>
                    </m:r>
                  </m:e>
                </m:d>
              </m:e>
              <m:sup>
                <m:r>
                  <w:rPr>
                    <w:rFonts w:ascii="Cambria Math" w:hAnsi="Cambria Math"/>
                    <w:lang w:val="en-US"/>
                  </w:rPr>
                  <m:t>i-1</m:t>
                </m:r>
              </m:sup>
            </m:sSup>
            <m:sSup>
              <m:sSupPr>
                <m:ctrlPr>
                  <w:rPr>
                    <w:rFonts w:ascii="Cambria Math" w:hAnsi="Cambria Math"/>
                    <w:i/>
                    <w:lang w:val="en-US"/>
                  </w:rPr>
                </m:ctrlPr>
              </m:sSupPr>
              <m:e>
                <m:r>
                  <w:rPr>
                    <w:rFonts w:ascii="Cambria Math" w:hAnsi="Cambria Math"/>
                    <w:lang w:val="en-US"/>
                  </w:rPr>
                  <m:t>γ</m:t>
                </m:r>
                <m:ctrlPr>
                  <w:rPr>
                    <w:rFonts w:ascii="Cambria Math" w:hAnsi="Cambria Math"/>
                    <w:lang w:val="en-US"/>
                  </w:rPr>
                </m:ctrlP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t-i+1</m:t>
                </m:r>
              </m:e>
            </m:d>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1-K</m:t>
                </m:r>
              </m:e>
            </m:d>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t-m</m:t>
            </m:r>
          </m:e>
        </m:d>
        <m:r>
          <w:rPr>
            <w:rFonts w:ascii="Cambria Math" w:hAnsi="Cambria Math"/>
            <w:lang w:val="en-US"/>
          </w:rPr>
          <m:t>,</m:t>
        </m:r>
      </m:oMath>
      <w:r>
        <w:tab/>
        <w:t>(3)</w:t>
      </w:r>
    </w:p>
    <w:p w14:paraId="61221347" w14:textId="647EA727" w:rsidR="00237C5B" w:rsidRDefault="005B15C0" w:rsidP="005B15C0">
      <w:pPr>
        <w:pStyle w:val="Paragraph"/>
        <w:jc w:val="both"/>
      </w:pPr>
      <w:r>
        <w:t>w</w:t>
      </w:r>
      <w:r w:rsidR="007E5BA2">
        <w:t>here</w:t>
      </w:r>
      <w:r w:rsidR="00237C5B">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oMath>
      <w:r w:rsidR="00096841">
        <w:t xml:space="preserve"> </w:t>
      </w:r>
      <w:r w:rsidR="00237C5B">
        <w:t xml:space="preserve">represents the </w:t>
      </w:r>
      <w:r w:rsidR="004218DF">
        <w:t xml:space="preserve">accrued </w:t>
      </w:r>
      <w:r w:rsidR="00237C5B">
        <w:t>index value at time t</w:t>
      </w:r>
      <w:r w:rsidR="00096841">
        <w:t xml:space="preserve">, while </w:t>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m:t>
            </m:r>
          </m:e>
        </m:d>
      </m:oMath>
      <w:r w:rsidR="00096841">
        <w:t xml:space="preserve"> is the </w:t>
      </w:r>
      <w:r w:rsidR="00C34FED">
        <w:t xml:space="preserve">accrued </w:t>
      </w:r>
      <w:r w:rsidR="00096841">
        <w:t>efficient market price of the real estate assets,</w:t>
      </w:r>
      <w:r w:rsidR="00FA2014">
        <w:t xml:space="preserve"> and</w:t>
      </w:r>
      <w:r w:rsidR="00CA51E3">
        <w:t xml:space="preserve"> </w:t>
      </w:r>
      <m:oMath>
        <m:r>
          <w:rPr>
            <w:rFonts w:ascii="Cambria Math" w:hAnsi="Cambria Math"/>
          </w:rPr>
          <m:t>K</m:t>
        </m:r>
      </m:oMath>
      <w:r w:rsidR="00237C5B">
        <w:t xml:space="preserve"> </w:t>
      </w:r>
      <w:r w:rsidR="000D426C">
        <w:t xml:space="preserve">is the weight parameter </w:t>
      </w:r>
      <w:r w:rsidR="00CA51E3">
        <w:t xml:space="preserve">for </w:t>
      </w:r>
      <w:r w:rsidR="000D426C">
        <w:t xml:space="preserve">the market price </w:t>
      </w:r>
      <w:r w:rsidR="00FA2014">
        <w:t>process</w:t>
      </w:r>
      <w:r w:rsidR="00CA51E3">
        <w:t xml:space="preserve"> </w:t>
      </w: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r>
          <w:rPr>
            <w:rFonts w:ascii="Cambria Math" w:hAnsi="Cambria Math"/>
          </w:rPr>
          <m:t>(t)</m:t>
        </m:r>
      </m:oMath>
      <w:r w:rsidR="00FA2014">
        <w:t>.</w:t>
      </w:r>
      <w:r w:rsidR="000D426C">
        <w:t xml:space="preserve"> </w:t>
      </w:r>
      <w:r w:rsidR="008E6141">
        <w:t>The accrued values depend on the expected rate of return</w:t>
      </w:r>
      <w:r w:rsidR="00032BE6">
        <w:t>,</w:t>
      </w:r>
      <w:r w:rsidR="00816BB2">
        <w:t xml:space="preserve"> </w:t>
      </w:r>
      <w:r w:rsidR="00032BE6">
        <w:t>which correspond to the risk-free rate in a risk-neutral valuation model. Therefore,</w:t>
      </w:r>
    </w:p>
    <w:p w14:paraId="6210C1EA" w14:textId="0B9495D0" w:rsidR="00714F7C" w:rsidRPr="002B6C5F" w:rsidRDefault="00714F7C" w:rsidP="00714F7C">
      <w:pPr>
        <w:pStyle w:val="Displayed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m:t>
            </m:r>
          </m:e>
        </m:d>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m:t>
            </m:r>
          </m:e>
        </m:d>
        <m:sSup>
          <m:sSupPr>
            <m:ctrlPr>
              <w:rPr>
                <w:rFonts w:ascii="Cambria Math" w:hAnsi="Cambria Math"/>
                <w:i/>
              </w:rPr>
            </m:ctrlPr>
          </m:sSupPr>
          <m:e>
            <m:r>
              <w:rPr>
                <w:rFonts w:ascii="Cambria Math" w:hAnsi="Cambria Math"/>
              </w:rPr>
              <m:t>e</m:t>
            </m:r>
          </m:e>
          <m:sup>
            <m:nary>
              <m:naryPr>
                <m:ctrlPr>
                  <w:rPr>
                    <w:rFonts w:ascii="Cambria Math" w:hAnsi="Cambria Math"/>
                  </w:rPr>
                </m:ctrlPr>
              </m:naryPr>
              <m:sub>
                <m:r>
                  <w:rPr>
                    <w:rFonts w:ascii="Cambria Math" w:hAnsi="Cambria Math"/>
                  </w:rPr>
                  <m:t>t-m</m:t>
                </m:r>
                <m:ctrlPr>
                  <w:rPr>
                    <w:rFonts w:ascii="Cambria Math" w:hAnsi="Cambria Math"/>
                    <w:i/>
                  </w:rPr>
                </m:ctrlPr>
              </m:sub>
              <m:sup>
                <m:r>
                  <w:rPr>
                    <w:rFonts w:ascii="Cambria Math" w:hAnsi="Cambria Math"/>
                  </w:rPr>
                  <m:t>t</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m:rPr>
                        <m:sty m:val="p"/>
                      </m:rPr>
                      <w:rPr>
                        <w:rFonts w:ascii="Cambria Math" w:hAnsi="Cambria Math"/>
                      </w:rPr>
                      <m:t>τ</m:t>
                    </m:r>
                  </m:e>
                </m:d>
                <m:r>
                  <w:rPr>
                    <w:rFonts w:ascii="Cambria Math" w:hAnsi="Cambria Math"/>
                  </w:rPr>
                  <m:t>d</m:t>
                </m:r>
                <m:r>
                  <m:rPr>
                    <m:sty m:val="p"/>
                  </m:rPr>
                  <w:rPr>
                    <w:rFonts w:ascii="Cambria Math" w:hAnsi="Cambria Math"/>
                  </w:rPr>
                  <m:t>τ</m:t>
                </m:r>
                <m:ctrlPr>
                  <w:rPr>
                    <w:rFonts w:ascii="Cambria Math" w:hAnsi="Cambria Math"/>
                    <w:i/>
                  </w:rPr>
                </m:ctrlPr>
              </m:e>
            </m:nary>
            <m:r>
              <w:rPr>
                <w:rFonts w:ascii="Cambria Math" w:hAnsi="Cambria Math"/>
              </w:rPr>
              <m:t>-qm</m:t>
            </m:r>
          </m:sup>
        </m:sSup>
        <m:r>
          <w:rPr>
            <w:rFonts w:ascii="Cambria Math" w:hAnsi="Cambria Math"/>
          </w:rPr>
          <m:t>,</m:t>
        </m:r>
      </m:oMath>
      <w:r>
        <w:tab/>
        <w:t>(4)</w:t>
      </w:r>
    </w:p>
    <w:p w14:paraId="3E1CACB9" w14:textId="6AB343B7" w:rsidR="00B23F91" w:rsidRPr="00B23F91" w:rsidRDefault="00714F7C" w:rsidP="00714F7C">
      <w:pPr>
        <w:pStyle w:val="Displayedequation"/>
      </w:pPr>
      <w:r>
        <w:tab/>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t-i+1</m:t>
            </m:r>
          </m:e>
        </m:d>
        <m:r>
          <m:rPr>
            <m:sty m:val="p"/>
          </m:rPr>
          <w:rPr>
            <w:rFonts w:ascii="Cambria Math" w:hAnsi="Cambria Math"/>
          </w:rPr>
          <m:t>≡γ</m:t>
        </m:r>
        <m:d>
          <m:dPr>
            <m:ctrlPr>
              <w:rPr>
                <w:rFonts w:ascii="Cambria Math" w:hAnsi="Cambria Math"/>
                <w:i/>
              </w:rPr>
            </m:ctrlPr>
          </m:dPr>
          <m:e>
            <m:r>
              <w:rPr>
                <w:rFonts w:ascii="Cambria Math" w:hAnsi="Cambria Math"/>
              </w:rPr>
              <m:t>t-i+1</m:t>
            </m:r>
          </m:e>
        </m:d>
        <m:sSup>
          <m:sSupPr>
            <m:ctrlPr>
              <w:rPr>
                <w:rFonts w:ascii="Cambria Math" w:hAnsi="Cambria Math"/>
                <w:i/>
              </w:rPr>
            </m:ctrlPr>
          </m:sSupPr>
          <m:e>
            <m:r>
              <w:rPr>
                <w:rFonts w:ascii="Cambria Math" w:hAnsi="Cambria Math"/>
              </w:rPr>
              <m:t>e</m:t>
            </m:r>
          </m:e>
          <m:sup>
            <m:nary>
              <m:naryPr>
                <m:ctrlPr>
                  <w:rPr>
                    <w:rFonts w:ascii="Cambria Math" w:hAnsi="Cambria Math"/>
                  </w:rPr>
                </m:ctrlPr>
              </m:naryPr>
              <m:sub>
                <m:r>
                  <w:rPr>
                    <w:rFonts w:ascii="Cambria Math" w:hAnsi="Cambria Math"/>
                  </w:rPr>
                  <m:t>t-i+1</m:t>
                </m:r>
                <m:ctrlPr>
                  <w:rPr>
                    <w:rFonts w:ascii="Cambria Math" w:hAnsi="Cambria Math"/>
                    <w:i/>
                  </w:rPr>
                </m:ctrlPr>
              </m:sub>
              <m:sup>
                <m:r>
                  <w:rPr>
                    <w:rFonts w:ascii="Cambria Math" w:hAnsi="Cambria Math"/>
                  </w:rPr>
                  <m:t>t</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m:rPr>
                        <m:sty m:val="p"/>
                      </m:rPr>
                      <w:rPr>
                        <w:rFonts w:ascii="Cambria Math" w:hAnsi="Cambria Math"/>
                      </w:rPr>
                      <m:t>τ</m:t>
                    </m:r>
                  </m:e>
                </m:d>
                <m:r>
                  <w:rPr>
                    <w:rFonts w:ascii="Cambria Math" w:hAnsi="Cambria Math"/>
                  </w:rPr>
                  <m:t>d</m:t>
                </m:r>
                <m:r>
                  <m:rPr>
                    <m:sty m:val="p"/>
                  </m:rPr>
                  <w:rPr>
                    <w:rFonts w:ascii="Cambria Math" w:hAnsi="Cambria Math"/>
                  </w:rPr>
                  <m:t>τ</m:t>
                </m:r>
                <m:ctrlPr>
                  <w:rPr>
                    <w:rFonts w:ascii="Cambria Math" w:hAnsi="Cambria Math"/>
                    <w:i/>
                  </w:rPr>
                </m:ctrlPr>
              </m:e>
            </m:nary>
            <m:r>
              <w:rPr>
                <w:rFonts w:ascii="Cambria Math" w:hAnsi="Cambria Math"/>
              </w:rPr>
              <m:t>-q</m:t>
            </m:r>
            <m:d>
              <m:dPr>
                <m:ctrlPr>
                  <w:rPr>
                    <w:rFonts w:ascii="Cambria Math" w:hAnsi="Cambria Math"/>
                    <w:i/>
                  </w:rPr>
                </m:ctrlPr>
              </m:dPr>
              <m:e>
                <m:r>
                  <w:rPr>
                    <w:rFonts w:ascii="Cambria Math" w:hAnsi="Cambria Math"/>
                  </w:rPr>
                  <m:t>i-1</m:t>
                </m:r>
              </m:e>
            </m:d>
          </m:sup>
        </m:sSup>
        <m:r>
          <m:rPr>
            <m:sty m:val="p"/>
          </m:rPr>
          <w:rPr>
            <w:rFonts w:ascii="Cambria Math" w:hAnsi="Cambria Math"/>
          </w:rPr>
          <m:t>.</m:t>
        </m:r>
      </m:oMath>
      <w:r>
        <w:tab/>
        <w:t>(5)</w:t>
      </w:r>
    </w:p>
    <w:p w14:paraId="5A65C34A" w14:textId="2D6DA3DC" w:rsidR="00032BE6" w:rsidRDefault="007E5BA2" w:rsidP="00494113">
      <w:pPr>
        <w:pStyle w:val="Newparagraph"/>
        <w:jc w:val="both"/>
      </w:pPr>
      <w:r>
        <w:t>Here,</w:t>
      </w:r>
      <w:r w:rsidR="003A4101">
        <w:t xml:space="preserve"> </w:t>
      </w:r>
      <m:oMath>
        <m:r>
          <w:rPr>
            <w:rFonts w:ascii="Cambria Math" w:hAnsi="Cambria Math"/>
          </w:rPr>
          <m:t>τ</m:t>
        </m:r>
      </m:oMath>
      <w:r w:rsidR="003A4101">
        <w:t xml:space="preserve"> is a continuous</w:t>
      </w:r>
      <w:r w:rsidR="002247E5">
        <w:t>-</w:t>
      </w:r>
      <w:r w:rsidR="003A4101">
        <w:t>time measure, denoted differently than the discrete</w:t>
      </w:r>
      <w:r w:rsidR="002247E5">
        <w:t>-</w:t>
      </w:r>
      <w:r w:rsidR="003A4101">
        <w:t xml:space="preserve">time t. </w:t>
      </w:r>
      <w:r w:rsidR="00210947">
        <w:t>A</w:t>
      </w:r>
      <w:r w:rsidR="00046D6D">
        <w:t>lthough</w:t>
      </w:r>
      <w:r w:rsidR="00210947">
        <w:t xml:space="preserve"> BFSP</w:t>
      </w:r>
      <w:r w:rsidR="00046D6D">
        <w:t xml:space="preserve"> propose the one-factor no-arbitrage Hull-White (HW) model for the </w:t>
      </w:r>
      <w:r w:rsidR="00210947">
        <w:t>stoc</w:t>
      </w:r>
      <w:r w:rsidR="007865B5">
        <w:t>hastic process for interest rate</w:t>
      </w:r>
      <w:r w:rsidR="006A5B32">
        <w:t xml:space="preserve"> </w:t>
      </w:r>
      <m:oMath>
        <m:r>
          <w:rPr>
            <w:rFonts w:ascii="Cambria Math" w:hAnsi="Cambria Math"/>
          </w:rPr>
          <m:t>r</m:t>
        </m:r>
        <m:d>
          <m:dPr>
            <m:ctrlPr>
              <w:rPr>
                <w:rFonts w:ascii="Cambria Math" w:hAnsi="Cambria Math"/>
                <w:i/>
              </w:rPr>
            </m:ctrlPr>
          </m:dPr>
          <m:e>
            <m:r>
              <w:rPr>
                <w:rFonts w:ascii="Cambria Math" w:hAnsi="Cambria Math"/>
              </w:rPr>
              <m:t>τ</m:t>
            </m:r>
          </m:e>
        </m:d>
      </m:oMath>
      <w:r w:rsidR="00303BA3">
        <w:t xml:space="preserve">, in this work </w:t>
      </w:r>
      <w:r w:rsidR="00B23F91">
        <w:t xml:space="preserve">the </w:t>
      </w:r>
      <w:sdt>
        <w:sdtPr>
          <w:id w:val="-1024706019"/>
          <w:citation/>
        </w:sdtPr>
        <w:sdtEndPr/>
        <w:sdtContent>
          <w:r w:rsidR="00B23F91">
            <w:fldChar w:fldCharType="begin"/>
          </w:r>
          <w:r w:rsidR="00373891">
            <w:rPr>
              <w:lang w:val="en-US"/>
            </w:rPr>
            <w:instrText xml:space="preserve">CITATION Vas97 \l 1033 </w:instrText>
          </w:r>
          <w:r w:rsidR="00B23F91">
            <w:fldChar w:fldCharType="separate"/>
          </w:r>
          <w:r w:rsidR="00373891">
            <w:rPr>
              <w:noProof/>
              <w:lang w:val="en-US"/>
            </w:rPr>
            <w:t>(Vasicek, 1977)</w:t>
          </w:r>
          <w:r w:rsidR="00B23F91">
            <w:fldChar w:fldCharType="end"/>
          </w:r>
        </w:sdtContent>
      </w:sdt>
      <w:r w:rsidR="00B23F91">
        <w:t xml:space="preserve"> model</w:t>
      </w:r>
      <w:r w:rsidR="00303BA3">
        <w:t xml:space="preserve"> is</w:t>
      </w:r>
      <w:r w:rsidR="007865B5">
        <w:t xml:space="preserve"> </w:t>
      </w:r>
      <w:r w:rsidR="00303BA3">
        <w:t>used for the sake of simplicity. Th</w:t>
      </w:r>
      <w:r w:rsidR="008034C3">
        <w:t>e latter</w:t>
      </w:r>
      <w:r w:rsidR="00303BA3">
        <w:t xml:space="preserve"> is also a no-arbitrage </w:t>
      </w:r>
      <w:r w:rsidR="00981D06">
        <w:t>model,</w:t>
      </w:r>
      <w:r w:rsidR="00303BA3">
        <w:t xml:space="preserve"> </w:t>
      </w:r>
      <w:r w:rsidR="00CB1DF2">
        <w:t>but</w:t>
      </w:r>
      <w:r w:rsidR="00A31C6E">
        <w:t xml:space="preserve"> the mean-reversion level is constant. The process is given by equation (</w:t>
      </w:r>
      <w:r w:rsidR="00714F7C">
        <w:t>6</w:t>
      </w:r>
      <w:r w:rsidR="00B23F91">
        <w:t>)</w:t>
      </w:r>
      <w:r w:rsidR="00BF78B0">
        <w:t>:</w:t>
      </w:r>
    </w:p>
    <w:p w14:paraId="3CBD8E31" w14:textId="7104C55C" w:rsidR="00C35628" w:rsidRPr="00032BE6" w:rsidRDefault="00C35628" w:rsidP="00C35628">
      <w:pPr>
        <w:pStyle w:val="Displayedequation"/>
      </w:pPr>
      <w:r>
        <w:lastRenderedPageBreak/>
        <w:tab/>
      </w:r>
      <m:oMath>
        <m:r>
          <m:rPr>
            <m:sty m:val="p"/>
          </m:rPr>
          <w:rPr>
            <w:rFonts w:ascii="Cambria Math" w:hAnsi="Cambria Math"/>
          </w:rPr>
          <m:t>d</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=k</m:t>
        </m:r>
        <m:d>
          <m:dPr>
            <m:ctrlPr>
              <w:rPr>
                <w:rFonts w:ascii="Cambria Math" w:hAnsi="Cambria Math"/>
              </w:rPr>
            </m:ctrlPr>
          </m:dPr>
          <m:e>
            <m:r>
              <m:rPr>
                <m:sty m:val="p"/>
              </m:rPr>
              <w:rPr>
                <w:rFonts w:ascii="Cambria Math" w:hAnsi="Cambria Math"/>
              </w:rPr>
              <m:t>μ-</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e>
        </m:d>
        <m:r>
          <m:rPr>
            <m:sty m:val="p"/>
          </m:rPr>
          <w:rPr>
            <w:rFonts w:ascii="Cambria Math" w:hAnsi="Cambria Math"/>
          </w:rPr>
          <m:t>dt+σd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tab/>
        <w:t>(6)</w:t>
      </w:r>
    </w:p>
    <w:p w14:paraId="74162B5C" w14:textId="51746D41" w:rsidR="00FA2014" w:rsidRDefault="00A82CC3" w:rsidP="00A82CC3">
      <w:pPr>
        <w:pStyle w:val="Newparagraph"/>
        <w:jc w:val="both"/>
      </w:pPr>
      <w:r>
        <w:t>Where</w:t>
      </w:r>
      <w:r w:rsidR="002E2AE7">
        <w:t xml:space="preserve"> </w:t>
      </w:r>
      <m:oMath>
        <m:r>
          <w:rPr>
            <w:rFonts w:ascii="Cambria Math" w:hAnsi="Cambria Math"/>
          </w:rPr>
          <m:t>0</m:t>
        </m:r>
        <m:r>
          <m:rPr>
            <m:sty m:val="p"/>
          </m:rPr>
          <w:rPr>
            <w:rFonts w:ascii="Cambria Math" w:hAnsi="Cambria Math"/>
          </w:rPr>
          <m:t>≤</m:t>
        </m:r>
        <m:r>
          <w:rPr>
            <w:rFonts w:ascii="Cambria Math" w:hAnsi="Cambria Math"/>
          </w:rPr>
          <m:t>k&lt;1</m:t>
        </m:r>
      </m:oMath>
      <w:r w:rsidR="00C629E9">
        <w:t xml:space="preserve">, </w:t>
      </w:r>
      <m:oMath>
        <m:r>
          <m:rPr>
            <m:sty m:val="p"/>
          </m:rPr>
          <w:rPr>
            <w:rFonts w:ascii="Cambria Math" w:hAnsi="Cambria Math"/>
          </w:rPr>
          <m:t>μ</m:t>
        </m:r>
        <m:r>
          <w:rPr>
            <w:rFonts w:ascii="Cambria Math" w:hAnsi="Cambria Math"/>
          </w:rPr>
          <m:t>,</m:t>
        </m:r>
        <m:r>
          <m:rPr>
            <m:sty m:val="p"/>
          </m:rPr>
          <w:rPr>
            <w:rFonts w:ascii="Cambria Math" w:hAnsi="Cambria Math"/>
          </w:rPr>
          <m:t>σ≥</m:t>
        </m:r>
        <m:r>
          <w:rPr>
            <w:rFonts w:ascii="Cambria Math" w:hAnsi="Cambria Math"/>
          </w:rPr>
          <m:t>0</m:t>
        </m:r>
      </m:oMath>
      <w:r w:rsidR="00C629E9">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w:r w:rsidR="00C629E9">
        <w:t xml:space="preserve"> </w:t>
      </w:r>
      <w:r w:rsidR="008034C3">
        <w:t>corresponds to a</w:t>
      </w:r>
      <w:r w:rsidR="00C629E9">
        <w:t xml:space="preserve"> Weiner process</w:t>
      </w:r>
      <w:r w:rsidR="002956AC">
        <w:t xml:space="preserve"> on the risk-neutral probability space</w:t>
      </w:r>
      <w:r w:rsidR="00823D06">
        <w:t>.</w:t>
      </w:r>
      <w:r>
        <w:t xml:space="preserve"> </w:t>
      </w:r>
      <w:r w:rsidR="00BF78B0">
        <w:t xml:space="preserve">The model is calibrated for three months T-Bills as the risk-free rate using least squares regression. </w:t>
      </w:r>
      <w:r w:rsidR="00CD098F">
        <w:t xml:space="preserve">Given this framework, the price </w:t>
      </w:r>
      <m:oMath>
        <m:r>
          <w:rPr>
            <w:rFonts w:ascii="Cambria Math" w:hAnsi="Cambria Math"/>
          </w:rPr>
          <m:t>f(t)</m:t>
        </m:r>
      </m:oMath>
      <w:r w:rsidR="000F27CA">
        <w:t xml:space="preserve"> </w:t>
      </w:r>
      <w:r w:rsidR="00CD098F">
        <w:t>of</w:t>
      </w:r>
      <w:r w:rsidR="002C0641">
        <w:t xml:space="preserve"> a</w:t>
      </w:r>
      <w:r w:rsidR="00CD098F">
        <w:t xml:space="preserve"> forward</w:t>
      </w:r>
      <w:r w:rsidR="002C0641">
        <w:t xml:space="preserve"> contract that expires at time </w:t>
      </w:r>
      <m:oMath>
        <m:r>
          <w:rPr>
            <w:rFonts w:ascii="Cambria Math" w:hAnsi="Cambria Math"/>
          </w:rPr>
          <m:t>T&gt;t</m:t>
        </m:r>
      </m:oMath>
      <w:r w:rsidR="002C0641">
        <w:t xml:space="preserve"> with an agreed-</w:t>
      </w:r>
      <w:r w:rsidR="00D35335">
        <w:t xml:space="preserve">upon delivery price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e>
        </m:d>
      </m:oMath>
      <w:r w:rsidR="00D35335">
        <w:t xml:space="preserve"> is</w:t>
      </w:r>
      <w:r>
        <w:t>:</w:t>
      </w:r>
    </w:p>
    <w:p w14:paraId="5AFFF744" w14:textId="6910E54E" w:rsidR="00C35628" w:rsidRDefault="00BF78B0" w:rsidP="00BF78B0">
      <w:pPr>
        <w:pStyle w:val="Displayedequation"/>
      </w:pPr>
      <w:r>
        <w:tab/>
      </w:r>
      <m:oMath>
        <m:r>
          <w:rPr>
            <w:rFonts w:ascii="Cambria Math" w:hAnsi="Cambria Math"/>
          </w:rPr>
          <m:t>f</m:t>
        </m:r>
        <m:d>
          <m:dPr>
            <m:ctrlPr>
              <w:rPr>
                <w:rFonts w:ascii="Cambria Math" w:hAnsi="Cambria Math"/>
                <w:i/>
                <w:iCs/>
              </w:rPr>
            </m:ctrlPr>
          </m:dPr>
          <m:e>
            <m:r>
              <w:rPr>
                <w:rFonts w:ascii="Cambria Math" w:hAnsi="Cambria Math"/>
              </w:rPr>
              <m:t>t</m:t>
            </m:r>
          </m:e>
        </m:d>
        <m:r>
          <w:rPr>
            <w:rFonts w:ascii="Cambria Math" w:hAnsi="Cambria Math"/>
          </w:rPr>
          <m:t>=D</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F</m:t>
            </m:r>
          </m:e>
          <m:sub>
            <m:r>
              <w:rPr>
                <w:rFonts w:ascii="Cambria Math" w:hAnsi="Cambria Math"/>
              </w:rPr>
              <m:t>T</m:t>
            </m:r>
          </m:sub>
        </m:sSub>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-q</m:t>
            </m:r>
            <m:d>
              <m:dPr>
                <m:ctrlPr>
                  <w:rPr>
                    <w:rFonts w:ascii="Cambria Math" w:hAnsi="Cambria Math"/>
                    <w:i/>
                    <w:iCs/>
                  </w:rPr>
                </m:ctrlPr>
              </m:dPr>
              <m:e>
                <m:r>
                  <w:rPr>
                    <w:rFonts w:ascii="Cambria Math" w:hAnsi="Cambria Math"/>
                  </w:rPr>
                  <m:t>T-t</m:t>
                </m:r>
              </m:e>
            </m:d>
          </m:sup>
        </m:sSup>
        <m:d>
          <m:dPr>
            <m:begChr m:val="["/>
            <m:endChr m:val="]"/>
            <m:ctrlPr>
              <w:rPr>
                <w:rFonts w:ascii="Cambria Math" w:hAnsi="Cambria Math"/>
                <w:iCs/>
              </w:rPr>
            </m:ctrlPr>
          </m:dPr>
          <m:e>
            <m:r>
              <m:rPr>
                <m:sty m:val="p"/>
              </m:rPr>
              <w:rPr>
                <w:rFonts w:ascii="Cambria Math" w:hAnsi="Cambria Math"/>
              </w:rPr>
              <m:t>γ</m:t>
            </m:r>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1-</m:t>
                </m:r>
                <m:sSub>
                  <m:sSubPr>
                    <m:ctrlPr>
                      <w:rPr>
                        <w:rFonts w:ascii="Cambria Math" w:hAnsi="Cambria Math"/>
                        <w:i/>
                        <w:iCs/>
                      </w:rPr>
                    </m:ctrlPr>
                  </m:sSubPr>
                  <m:e>
                    <m:r>
                      <m:rPr>
                        <m:sty m:val="p"/>
                      </m:rPr>
                      <w:rPr>
                        <w:rFonts w:ascii="Cambria Math" w:hAnsi="Cambria Math"/>
                      </w:rPr>
                      <m:t>α</m:t>
                    </m:r>
                  </m:e>
                  <m:sub>
                    <m:r>
                      <w:rPr>
                        <w:rFonts w:ascii="Cambria Math" w:hAnsi="Cambria Math"/>
                      </w:rPr>
                      <m:t>K,T</m:t>
                    </m:r>
                  </m:sub>
                </m:sSub>
                <m:d>
                  <m:dPr>
                    <m:ctrlPr>
                      <w:rPr>
                        <w:rFonts w:ascii="Cambria Math" w:hAnsi="Cambria Math"/>
                        <w:i/>
                        <w:iCs/>
                      </w:rPr>
                    </m:ctrlPr>
                  </m:dPr>
                  <m:e>
                    <m:r>
                      <w:rPr>
                        <w:rFonts w:ascii="Cambria Math" w:hAnsi="Cambria Math"/>
                      </w:rPr>
                      <m:t>t</m:t>
                    </m:r>
                  </m:e>
                </m:d>
              </m:e>
            </m:d>
            <m:r>
              <w:rPr>
                <w:rFonts w:ascii="Cambria Math" w:hAnsi="Cambria Math"/>
              </w:rPr>
              <m:t>+a</m:t>
            </m:r>
            <m:d>
              <m:dPr>
                <m:ctrlPr>
                  <w:rPr>
                    <w:rFonts w:ascii="Cambria Math" w:hAnsi="Cambria Math"/>
                    <w:i/>
                    <w:iCs/>
                  </w:rPr>
                </m:ctrlPr>
              </m:dPr>
              <m:e>
                <m:r>
                  <w:rPr>
                    <w:rFonts w:ascii="Cambria Math" w:hAnsi="Cambria Math"/>
                  </w:rPr>
                  <m:t>t</m:t>
                </m:r>
              </m:e>
            </m:d>
            <m:sSub>
              <m:sSubPr>
                <m:ctrlPr>
                  <w:rPr>
                    <w:rFonts w:ascii="Cambria Math" w:hAnsi="Cambria Math"/>
                    <w:i/>
                    <w:iCs/>
                  </w:rPr>
                </m:ctrlPr>
              </m:sSubPr>
              <m:e>
                <m:r>
                  <m:rPr>
                    <m:sty m:val="p"/>
                  </m:rPr>
                  <w:rPr>
                    <w:rFonts w:ascii="Cambria Math" w:hAnsi="Cambria Math"/>
                  </w:rPr>
                  <m:t>α</m:t>
                </m:r>
                <m:ctrlPr>
                  <w:rPr>
                    <w:rFonts w:ascii="Cambria Math" w:hAnsi="Cambria Math"/>
                    <w:iCs/>
                  </w:rPr>
                </m:ctrlPr>
              </m:e>
              <m:sub>
                <m:r>
                  <w:rPr>
                    <w:rFonts w:ascii="Cambria Math" w:hAnsi="Cambria Math"/>
                  </w:rPr>
                  <m:t>K,T</m:t>
                </m:r>
              </m:sub>
            </m:sSub>
            <m:d>
              <m:dPr>
                <m:ctrlPr>
                  <w:rPr>
                    <w:rFonts w:ascii="Cambria Math" w:hAnsi="Cambria Math"/>
                    <w:i/>
                    <w:iCs/>
                  </w:rPr>
                </m:ctrlPr>
              </m:dPr>
              <m:e>
                <m:r>
                  <w:rPr>
                    <w:rFonts w:ascii="Cambria Math" w:hAnsi="Cambria Math"/>
                  </w:rPr>
                  <m:t>t</m:t>
                </m:r>
              </m:e>
            </m:d>
            <m:ctrlPr>
              <w:rPr>
                <w:rFonts w:ascii="Cambria Math" w:hAnsi="Cambria Math"/>
                <w:i/>
                <w:iCs/>
              </w:rPr>
            </m:ctrlPr>
          </m:e>
        </m:d>
        <m:r>
          <m:rPr>
            <m:sty m:val="p"/>
          </m:rPr>
          <w:rPr>
            <w:rFonts w:ascii="Cambria Math" w:hAnsi="Cambria Math"/>
          </w:rPr>
          <m:t>.</m:t>
        </m:r>
      </m:oMath>
      <w:r>
        <w:tab/>
        <w:t>(7)</w:t>
      </w:r>
    </w:p>
    <w:p w14:paraId="071797F7" w14:textId="128DC906" w:rsidR="005B15C0" w:rsidRDefault="00F27872" w:rsidP="00760887">
      <w:pPr>
        <w:pStyle w:val="Newparagraph"/>
        <w:jc w:val="both"/>
      </w:pPr>
      <m:oMath>
        <m:r>
          <w:rPr>
            <w:rFonts w:ascii="Cambria Math" w:hAnsi="Cambria Math"/>
          </w:rPr>
          <m:t>D(t,T)</m:t>
        </m:r>
      </m:oMath>
      <w:r>
        <w:t xml:space="preserve"> is</w:t>
      </w:r>
      <w:r w:rsidR="009512D0">
        <w:t xml:space="preserve"> the price of a zero-coupon bond at time t that matures at time </w:t>
      </w:r>
      <w:r w:rsidR="00C60565">
        <w:t>T and</w:t>
      </w:r>
      <w:r w:rsidR="00834575">
        <w:t xml:space="preserve"> </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K,T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T-t</m:t>
            </m:r>
          </m:sup>
        </m:sSup>
        <m:r>
          <w:rPr>
            <w:rFonts w:ascii="Cambria Math" w:hAnsi="Cambria Math"/>
          </w:rPr>
          <m:t>.</m:t>
        </m:r>
      </m:oMath>
      <w:r w:rsidR="009512D0">
        <w:t xml:space="preserve"> </w:t>
      </w:r>
      <w:r w:rsidR="000F27CA">
        <w:t xml:space="preserve">Since the </w:t>
      </w:r>
      <w:r w:rsidR="00E535FE">
        <w:t>primary</w:t>
      </w:r>
      <w:r w:rsidR="000F4108">
        <w:t xml:space="preserve"> use of these pricing models </w:t>
      </w:r>
      <w:r w:rsidR="00C60565">
        <w:t xml:space="preserve">in this work </w:t>
      </w:r>
      <w:r w:rsidR="000F4108">
        <w:t>i</w:t>
      </w:r>
      <w:r w:rsidR="00C60565">
        <w:t>s</w:t>
      </w:r>
      <w:r w:rsidR="000F4108">
        <w:t xml:space="preserve"> measuring basis risk in commercial real estate portfolio hedging strategies, </w:t>
      </w:r>
      <w:r w:rsidR="00122B04">
        <w:t>Monte Carlo simulation</w:t>
      </w:r>
      <w:r w:rsidR="001D2528">
        <w:t xml:space="preserve"> </w:t>
      </w:r>
      <w:r w:rsidR="00F312F4">
        <w:t>is</w:t>
      </w:r>
      <w:r w:rsidR="001D2528">
        <w:t xml:space="preserve"> used for marked to market futures contracts </w:t>
      </w:r>
      <w:r w:rsidR="00AF2280">
        <w:t>instead</w:t>
      </w:r>
      <w:r w:rsidR="00655416">
        <w:t>,</w:t>
      </w:r>
      <w:r w:rsidR="00AF2280">
        <w:t xml:space="preserve"> </w:t>
      </w:r>
      <w:r w:rsidR="001D2528">
        <w:t xml:space="preserve">and </w:t>
      </w:r>
      <w:r w:rsidR="00330717">
        <w:t>the</w:t>
      </w:r>
      <w:r w:rsidR="00E535FE">
        <w:t xml:space="preserve"> AR</w:t>
      </w:r>
      <w:r w:rsidR="00655416">
        <w:t xml:space="preserve">(p) model </w:t>
      </w:r>
      <w:r w:rsidR="00330717">
        <w:t xml:space="preserve"> parameters </w:t>
      </w:r>
      <w:r w:rsidR="00011D8C">
        <w:t>are recalculated for</w:t>
      </w:r>
      <w:r w:rsidR="00330717">
        <w:t xml:space="preserve"> each </w:t>
      </w:r>
      <w:r w:rsidR="0038493E">
        <w:t>quarter</w:t>
      </w:r>
      <w:r w:rsidR="00E535FE">
        <w:t xml:space="preserve"> using unconstrained OLS using R stats package (stats::ar.ols)</w:t>
      </w:r>
      <w:r w:rsidR="00011D8C">
        <w:t xml:space="preserve">, with a maximum of 13 lags and selecting </w:t>
      </w:r>
      <w:r w:rsidR="00655416">
        <w:t>the model with the least Akaike Information Criterion</w:t>
      </w:r>
      <w:r w:rsidR="00330717">
        <w:t xml:space="preserve">. Notice that </w:t>
      </w:r>
      <w:r w:rsidR="00760887">
        <w:t xml:space="preserve">BFSP also provide </w:t>
      </w:r>
      <w:r w:rsidR="00330717">
        <w:t xml:space="preserve">a </w:t>
      </w:r>
      <w:r w:rsidR="00760887">
        <w:t xml:space="preserve">closed-form pricing formula for European put options on </w:t>
      </w:r>
      <w:r w:rsidR="0038493E">
        <w:t>futures,</w:t>
      </w:r>
      <w:r w:rsidR="00C60565">
        <w:t xml:space="preserve"> </w:t>
      </w:r>
      <w:r w:rsidR="0038493E">
        <w:t>but Monte Carlos simulation</w:t>
      </w:r>
      <w:r w:rsidR="00C60565">
        <w:t xml:space="preserve"> </w:t>
      </w:r>
      <w:r w:rsidR="00973D3F">
        <w:t>are</w:t>
      </w:r>
      <w:r w:rsidR="00C60565">
        <w:t xml:space="preserve"> used</w:t>
      </w:r>
      <w:r w:rsidR="00973D3F">
        <w:t xml:space="preserve">. </w:t>
      </w:r>
      <w:r w:rsidR="0038493E">
        <w:t>The pricing formula</w:t>
      </w:r>
      <w:r w:rsidR="00E535FE">
        <w:t xml:space="preserve"> is</w:t>
      </w:r>
      <w:r w:rsidR="00760887">
        <w:t xml:space="preserve"> given by</w:t>
      </w:r>
      <w:r w:rsidR="00BE11BF">
        <w:t>:</w:t>
      </w:r>
    </w:p>
    <w:p w14:paraId="099B0DCE" w14:textId="4F2A34E3" w:rsidR="00945DC8" w:rsidRDefault="00945DC8" w:rsidP="00945DC8">
      <w:pPr>
        <w:pStyle w:val="Displayedequation"/>
      </w:pPr>
      <w:r>
        <w:tab/>
      </w:r>
      <m:oMath>
        <m:r>
          <w:rPr>
            <w:rFonts w:ascii="Cambria Math" w:hAnsi="Cambria Math"/>
          </w:rPr>
          <m:t>p</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N,T</m:t>
                </m:r>
              </m:sub>
            </m:sSub>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T-t</m:t>
                </m:r>
              </m:e>
            </m:d>
          </m:sup>
        </m:sSup>
        <m:d>
          <m:dPr>
            <m:begChr m:val="["/>
            <m:endChr m:val="]"/>
            <m:ctrlPr>
              <w:rPr>
                <w:rFonts w:ascii="Cambria Math" w:hAnsi="Cambria Math"/>
                <w:iCs/>
              </w:rPr>
            </m:ctrlPr>
          </m:dPr>
          <m:e>
            <m:r>
              <w:rPr>
                <w:rFonts w:ascii="Cambria Math" w:hAnsi="Cambria Math"/>
              </w:rPr>
              <m:t>XN</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T</m:t>
                </m:r>
              </m:sub>
            </m:sSub>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e>
            </m:d>
            <m:ctrlPr>
              <w:rPr>
                <w:rFonts w:ascii="Cambria Math" w:hAnsi="Cambria Math"/>
                <w:i/>
                <w:iCs/>
              </w:rPr>
            </m:ctrlPr>
          </m:e>
        </m:d>
        <m:r>
          <m:rPr>
            <m:sty m:val="p"/>
          </m:rPr>
          <w:rPr>
            <w:rFonts w:ascii="Cambria Math" w:hAnsi="Cambria Math"/>
          </w:rPr>
          <m:t>,</m:t>
        </m:r>
      </m:oMath>
      <w:r>
        <w:tab/>
        <w:t>(8)</w:t>
      </w:r>
    </w:p>
    <w:p w14:paraId="402354F0" w14:textId="1A980800" w:rsidR="00760887" w:rsidRDefault="00F6607F" w:rsidP="00F6607F">
      <w:pPr>
        <w:pStyle w:val="Newparagraph"/>
        <w:ind w:firstLine="0"/>
        <w:jc w:val="both"/>
      </w:pPr>
      <w:r>
        <w:t>w</w:t>
      </w:r>
      <w:r w:rsidR="00C35628">
        <w:t>here</w:t>
      </w:r>
      <w:r>
        <w:t xml:space="preserve"> </w:t>
      </w:r>
      <m:oMath>
        <m:r>
          <w:rPr>
            <w:rFonts w:ascii="Cambria Math" w:hAnsi="Cambria Math"/>
          </w:rPr>
          <m:t>X</m:t>
        </m:r>
      </m:oMath>
      <w:r>
        <w:t xml:space="preserve"> is the strike price and </w:t>
      </w:r>
    </w:p>
    <w:p w14:paraId="2CB31ABD" w14:textId="17ABCA21" w:rsidR="00F6607F" w:rsidRDefault="00BE11BF" w:rsidP="00BE11BF">
      <w:pPr>
        <w:pStyle w:val="Displayedequation"/>
      </w:pP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e>
                </m:d>
                <m:r>
                  <m:rPr>
                    <m:lit/>
                  </m:rPr>
                  <w:rPr>
                    <w:rFonts w:ascii="Cambria Math" w:hAnsi="Cambria Math"/>
                  </w:rPr>
                  <m:t>/</m:t>
                </m:r>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T-t</m:t>
                </m:r>
              </m:e>
            </m:d>
            <m:r>
              <m:rPr>
                <m:lit/>
              </m:rPr>
              <w:rPr>
                <w:rFonts w:ascii="Cambria Math" w:hAnsi="Cambria Math"/>
              </w:rPr>
              <m:t>/</m:t>
            </m:r>
            <m:r>
              <w:rPr>
                <w:rFonts w:ascii="Cambria Math" w:hAnsi="Cambria Math"/>
              </w:rPr>
              <m:t>2</m:t>
            </m:r>
            <m:ctrlPr>
              <w:rPr>
                <w:rFonts w:ascii="Cambria Math" w:hAnsi="Cambria Math"/>
                <w:i/>
              </w:rPr>
            </m:ctrlPr>
          </m:num>
          <m:den>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T-t</m:t>
                </m:r>
              </m:e>
            </m:rad>
            <m:ctrlPr>
              <w:rPr>
                <w:rFonts w:ascii="Cambria Math" w:hAnsi="Cambria Math"/>
                <w:i/>
              </w:rPr>
            </m:ctrlPr>
          </m:den>
        </m:f>
        <m:r>
          <m:rPr>
            <m:sty m:val="p"/>
          </m:rPr>
          <w:rPr>
            <w:rFonts w:ascii="Cambria Math" w:hAnsi="Cambria Math"/>
          </w:rPr>
          <m:t>,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T-t</m:t>
            </m:r>
          </m:e>
        </m:rad>
        <m:r>
          <m:rPr>
            <m:sty m:val="p"/>
          </m:rPr>
          <w:rPr>
            <w:rFonts w:ascii="Cambria Math" w:hAnsi="Cambria Math"/>
          </w:rPr>
          <m:t>.</m:t>
        </m:r>
      </m:oMath>
      <w:r>
        <w:tab/>
        <w:t>(9)</w:t>
      </w:r>
    </w:p>
    <w:p w14:paraId="626C091A" w14:textId="2E66626B" w:rsidR="005613F3" w:rsidRDefault="00271658" w:rsidP="00760887">
      <w:pPr>
        <w:pStyle w:val="Newparagraph"/>
        <w:jc w:val="both"/>
      </w:pPr>
      <w:r>
        <w:t xml:space="preserve">The option strike price </w:t>
      </w:r>
      <w:r w:rsidR="00EC3892">
        <w:t xml:space="preserve">for the hedging strategy can affect </w:t>
      </w:r>
      <w:r w:rsidR="00E535FE">
        <w:t>its</w:t>
      </w:r>
      <w:r w:rsidR="00EC3892">
        <w:t xml:space="preserve"> performance of it and should depend on the asset manager </w:t>
      </w:r>
      <w:r w:rsidR="00C92584">
        <w:t>expectations. Therefore, the simulation will be run with ATM</w:t>
      </w:r>
      <w:r w:rsidR="001B7F14">
        <w:t xml:space="preserve"> </w:t>
      </w:r>
      <w:r w:rsidR="00C92584">
        <w:t xml:space="preserve">and ITM puts </w:t>
      </w:r>
      <w:r w:rsidR="00AF2280">
        <w:t xml:space="preserve">shifted </w:t>
      </w:r>
      <w:r w:rsidR="00C92584">
        <w:t xml:space="preserve">by </w:t>
      </w:r>
      <w:r w:rsidR="00E535FE">
        <w:t>one</w:t>
      </w:r>
      <w:r w:rsidR="00C470AC">
        <w:t xml:space="preserve"> </w:t>
      </w:r>
      <w:r w:rsidR="00E535FE">
        <w:t>and two tenths of volatility</w:t>
      </w:r>
      <w:r w:rsidR="00C92584">
        <w:t>.</w:t>
      </w:r>
      <w:r w:rsidR="00DB08CF">
        <w:t xml:space="preserve"> </w:t>
      </w:r>
    </w:p>
    <w:p w14:paraId="715C27CF" w14:textId="7955DE52" w:rsidR="00A16E58" w:rsidRDefault="00DB08CF" w:rsidP="00177CD7">
      <w:pPr>
        <w:pStyle w:val="Newparagraph"/>
        <w:jc w:val="both"/>
      </w:pPr>
      <w:r>
        <w:lastRenderedPageBreak/>
        <w:t>F</w:t>
      </w:r>
      <w:r w:rsidR="000629FD">
        <w:t xml:space="preserve">inally, </w:t>
      </w:r>
      <w:r w:rsidR="00C31DCC">
        <w:t xml:space="preserve">basis risk is measured only for those portfolios </w:t>
      </w:r>
      <w:r w:rsidR="007C1464">
        <w:t>where</w:t>
      </w:r>
      <w:r w:rsidR="00C31DCC">
        <w:t xml:space="preserve"> hedge was </w:t>
      </w:r>
      <w:r w:rsidR="00AA65E2">
        <w:t xml:space="preserve">necessary, </w:t>
      </w:r>
      <w:r w:rsidR="00C851D8">
        <w:t>i.e.,</w:t>
      </w:r>
      <w:r w:rsidR="00AA65E2">
        <w:t xml:space="preserve"> when the derivatives have intrinsic value at expiration. For example, a protective put in a bull market </w:t>
      </w:r>
      <w:r w:rsidR="007C1464">
        <w:t>may</w:t>
      </w:r>
      <w:r w:rsidR="00301024">
        <w:t xml:space="preserve"> </w:t>
      </w:r>
      <w:r w:rsidR="007C1464">
        <w:t xml:space="preserve">have </w:t>
      </w:r>
      <w:r w:rsidR="00301024">
        <w:t>be</w:t>
      </w:r>
      <w:r w:rsidR="007C1464">
        <w:t>en</w:t>
      </w:r>
      <w:r w:rsidR="00301024">
        <w:t xml:space="preserve"> </w:t>
      </w:r>
      <w:r w:rsidR="002719B7">
        <w:t>a</w:t>
      </w:r>
      <w:r w:rsidR="007C1464">
        <w:t xml:space="preserve"> smart but</w:t>
      </w:r>
      <w:r w:rsidR="00301024">
        <w:t xml:space="preserve"> unnecessary hedge, the important question is how good </w:t>
      </w:r>
      <w:r w:rsidR="00145EB8">
        <w:t>would it have performed in a bearish market.</w:t>
      </w:r>
      <w:r w:rsidR="00AA65E2">
        <w:t xml:space="preserve"> </w:t>
      </w:r>
    </w:p>
    <w:p w14:paraId="42582C70" w14:textId="3B31677E" w:rsidR="00A67A52" w:rsidRDefault="00A67A52" w:rsidP="00A67A52">
      <w:pPr>
        <w:pStyle w:val="Heading1"/>
      </w:pPr>
      <w:r>
        <w:t>Data</w:t>
      </w:r>
    </w:p>
    <w:p w14:paraId="157FE0D2" w14:textId="28F1EAF2" w:rsidR="00E92A9D" w:rsidRDefault="005F2570" w:rsidP="009B5CDF">
      <w:pPr>
        <w:pStyle w:val="Paragraph"/>
        <w:jc w:val="both"/>
      </w:pPr>
      <w:r>
        <w:t xml:space="preserve">Data used </w:t>
      </w:r>
      <w:r w:rsidR="004C08C0">
        <w:t>to determine the slope coefficients and their p-value</w:t>
      </w:r>
      <w:r w:rsidR="00D313F9">
        <w:t>s</w:t>
      </w:r>
      <w:r w:rsidR="004C3B18">
        <w:t xml:space="preserve"> </w:t>
      </w:r>
      <w:r w:rsidR="00C851D8">
        <w:t>are</w:t>
      </w:r>
      <w:r w:rsidR="004C3B18">
        <w:t xml:space="preserve"> </w:t>
      </w:r>
      <w:r w:rsidR="00D313F9">
        <w:t xml:space="preserve">the </w:t>
      </w:r>
      <w:r w:rsidR="004C3B18">
        <w:t xml:space="preserve">NCREIF NPI and property type </w:t>
      </w:r>
      <w:r w:rsidR="00E92A9D">
        <w:t xml:space="preserve">and regional </w:t>
      </w:r>
      <w:r w:rsidR="004C3B18">
        <w:t>sub</w:t>
      </w:r>
      <w:r w:rsidR="00C25F96">
        <w:t>indexes</w:t>
      </w:r>
      <w:r w:rsidR="00D313F9">
        <w:t xml:space="preserve"> values</w:t>
      </w:r>
      <w:r w:rsidR="004C3B18">
        <w:t xml:space="preserve"> and quarterly returns, from 19</w:t>
      </w:r>
      <w:r w:rsidR="002B3DD0">
        <w:t>90</w:t>
      </w:r>
      <w:r w:rsidR="004C3B18">
        <w:t>-Q1 to</w:t>
      </w:r>
      <w:r w:rsidR="009B5CDF">
        <w:t xml:space="preserve"> 2020-Q</w:t>
      </w:r>
      <w:r w:rsidR="002B3DD0">
        <w:t>1</w:t>
      </w:r>
      <w:r w:rsidR="009B5CDF">
        <w:t>.</w:t>
      </w:r>
      <w:r w:rsidR="004C3B18">
        <w:t xml:space="preserve"> </w:t>
      </w:r>
      <w:r w:rsidR="00367316">
        <w:t xml:space="preserve">It corresponds to one nation-wide index (the NPI), </w:t>
      </w:r>
      <w:r w:rsidR="002465E6">
        <w:t xml:space="preserve">five property subtype </w:t>
      </w:r>
      <w:r w:rsidR="00C25F96">
        <w:t>subindexes</w:t>
      </w:r>
      <w:r w:rsidR="002465E6">
        <w:t xml:space="preserve"> (Apartments, Industrial, Office, Retail</w:t>
      </w:r>
      <w:r w:rsidR="00C851D8">
        <w:t>,</w:t>
      </w:r>
      <w:r w:rsidR="002465E6">
        <w:t xml:space="preserve"> and Hospitality)</w:t>
      </w:r>
      <w:r w:rsidR="00B209E9">
        <w:t>, and f</w:t>
      </w:r>
      <w:r w:rsidR="003922DF">
        <w:t>our</w:t>
      </w:r>
      <w:r w:rsidR="00B209E9">
        <w:t xml:space="preserve"> regional </w:t>
      </w:r>
      <w:r w:rsidR="00C25F96">
        <w:t>subindexes</w:t>
      </w:r>
      <w:r w:rsidR="003922DF">
        <w:t xml:space="preserve"> (East, </w:t>
      </w:r>
      <w:r w:rsidR="00E92A9D">
        <w:t>South,</w:t>
      </w:r>
      <w:r w:rsidR="003922DF">
        <w:t xml:space="preserve"> Midwest and West). </w:t>
      </w:r>
      <w:r w:rsidR="00E92A9D">
        <w:t>It is important to mention that total returns</w:t>
      </w:r>
      <w:r w:rsidR="00465C54">
        <w:t xml:space="preserve"> were used for </w:t>
      </w:r>
      <w:r w:rsidR="00C25F96">
        <w:t>calibrating the model.</w:t>
      </w:r>
    </w:p>
    <w:p w14:paraId="68A94F68" w14:textId="36B2BB74" w:rsidR="00A67A52" w:rsidRDefault="0031435D" w:rsidP="00E92A9D">
      <w:pPr>
        <w:pStyle w:val="Paragraph"/>
        <w:ind w:firstLine="720"/>
        <w:jc w:val="both"/>
      </w:pPr>
      <w:r>
        <w:t>One key aspect of NCREIF returns is that they present</w:t>
      </w:r>
      <w:r w:rsidR="00C851D8">
        <w:t xml:space="preserve"> a</w:t>
      </w:r>
      <w:r>
        <w:t xml:space="preserve"> </w:t>
      </w:r>
      <w:r w:rsidR="007E0B4E">
        <w:t xml:space="preserve">positive </w:t>
      </w:r>
      <w:r w:rsidR="00661892">
        <w:t>serial</w:t>
      </w:r>
      <w:r w:rsidR="007E0B4E">
        <w:t xml:space="preserve"> </w:t>
      </w:r>
      <w:r w:rsidR="00661892">
        <w:t>correlation</w:t>
      </w:r>
      <w:r w:rsidR="00E64EC5">
        <w:t xml:space="preserve">, which is a basic stylized fact assumed on the pricing model used for measuring basis risks. As </w:t>
      </w:r>
      <w:r w:rsidR="00661892">
        <w:t>shown in Figure 1,</w:t>
      </w:r>
      <w:r w:rsidR="00C851D8">
        <w:t xml:space="preserve"> the</w:t>
      </w:r>
      <w:r w:rsidR="00661892">
        <w:t xml:space="preserve"> </w:t>
      </w:r>
      <w:r w:rsidR="00884D47">
        <w:t>Ljun</w:t>
      </w:r>
      <w:r w:rsidR="007E0B4E">
        <w:t>g</w:t>
      </w:r>
      <w:r w:rsidR="00884D47">
        <w:t>-box</w:t>
      </w:r>
      <w:r w:rsidR="007E0B4E">
        <w:t xml:space="preserve"> test shows that, as of 2020-Q1, </w:t>
      </w:r>
      <w:r w:rsidR="00E36381">
        <w:t>quarterly NPI returns were significant for the first</w:t>
      </w:r>
      <w:r w:rsidR="00233663">
        <w:t xml:space="preserve"> </w:t>
      </w:r>
      <w:r w:rsidR="00C851D8">
        <w:t xml:space="preserve">five </w:t>
      </w:r>
      <w:r w:rsidR="00E36381">
        <w:t xml:space="preserve">lags, </w:t>
      </w:r>
      <w:r w:rsidR="00F20A20">
        <w:t>decreasing slowly to zero.</w:t>
      </w:r>
      <w:r w:rsidR="002160B4">
        <w:t xml:space="preserve"> Figure 1</w:t>
      </w:r>
      <w:r w:rsidR="00DB119A">
        <w:t xml:space="preserve"> shows</w:t>
      </w:r>
      <w:r w:rsidR="002160B4">
        <w:t xml:space="preserve"> that the serial correlation vanishes after five quarter</w:t>
      </w:r>
      <w:r w:rsidR="00527F9A">
        <w:t xml:space="preserve">s. Also, NCREIF returns </w:t>
      </w:r>
      <w:r w:rsidR="00BC4856">
        <w:t xml:space="preserve">are left-skewed since </w:t>
      </w:r>
      <w:r w:rsidR="00233663">
        <w:t xml:space="preserve">negative returns are </w:t>
      </w:r>
      <w:r w:rsidR="00440E0E">
        <w:t>more significant</w:t>
      </w:r>
      <w:r w:rsidR="00233663">
        <w:t xml:space="preserve"> than positive returns in absolute terms.</w:t>
      </w:r>
      <w:r w:rsidR="00527F9A">
        <w:t xml:space="preserve"> </w:t>
      </w:r>
    </w:p>
    <w:p w14:paraId="5D8FAE16" w14:textId="7633531A" w:rsidR="00CC1C47" w:rsidRDefault="00CC1C47" w:rsidP="00CC1C47">
      <w:pPr>
        <w:pStyle w:val="Newparagraph"/>
        <w:jc w:val="center"/>
      </w:pPr>
      <w:r>
        <w:t>(Include Figure 1 here)</w:t>
      </w:r>
    </w:p>
    <w:p w14:paraId="52473624" w14:textId="030B147B" w:rsidR="00CC1C47" w:rsidRDefault="00374909" w:rsidP="003F0BDB">
      <w:pPr>
        <w:pStyle w:val="Newparagraph"/>
        <w:jc w:val="both"/>
      </w:pPr>
      <w:r>
        <w:t xml:space="preserve">Another relevant aspect is the strong </w:t>
      </w:r>
      <w:r w:rsidR="003F0BDB">
        <w:t xml:space="preserve">linear </w:t>
      </w:r>
      <w:r>
        <w:t xml:space="preserve">correlation between </w:t>
      </w:r>
      <w:r w:rsidR="006E5BE5">
        <w:t xml:space="preserve">the </w:t>
      </w:r>
      <w:r>
        <w:t xml:space="preserve">NPI and the different property type </w:t>
      </w:r>
      <w:r w:rsidR="00C25F96">
        <w:t>subindexes</w:t>
      </w:r>
      <w:r>
        <w:t>. In fact, following</w:t>
      </w:r>
      <w:r w:rsidR="00440E0E">
        <w:t xml:space="preserve"> the</w:t>
      </w:r>
      <w:r>
        <w:t xml:space="preserve"> Pearson test</w:t>
      </w:r>
      <w:r w:rsidR="003F0BDB">
        <w:t xml:space="preserve">, </w:t>
      </w:r>
      <w:r w:rsidR="00440E0E">
        <w:t xml:space="preserve">the </w:t>
      </w:r>
      <w:r w:rsidR="003F0BDB">
        <w:t>linear</w:t>
      </w:r>
      <w:r>
        <w:t xml:space="preserve"> correlation </w:t>
      </w:r>
      <w:r w:rsidR="003F0BDB">
        <w:t>is positive and statistically significant between the NPI and each property type</w:t>
      </w:r>
      <w:r w:rsidR="003D2F11">
        <w:t xml:space="preserve"> (see Figure 2)</w:t>
      </w:r>
      <w:r w:rsidR="003F0BDB">
        <w:t>.</w:t>
      </w:r>
      <w:r w:rsidR="003D2F11">
        <w:t xml:space="preserve"> However, </w:t>
      </w:r>
      <w:r w:rsidR="00440E0E">
        <w:t xml:space="preserve">it </w:t>
      </w:r>
      <w:r w:rsidR="003D2F11">
        <w:t>is smaller for Hospitality which represents less tha</w:t>
      </w:r>
      <w:r w:rsidR="00440E0E">
        <w:t>n</w:t>
      </w:r>
      <w:r w:rsidR="003D2F11">
        <w:t xml:space="preserve"> 2% of the total market value of the index</w:t>
      </w:r>
      <w:r w:rsidR="006E5BE5">
        <w:t xml:space="preserve"> and has a business model </w:t>
      </w:r>
      <w:r w:rsidR="00440E0E">
        <w:t>entirely</w:t>
      </w:r>
      <w:r w:rsidR="006E5BE5">
        <w:t xml:space="preserve"> different </w:t>
      </w:r>
      <w:r w:rsidR="00440E0E">
        <w:t>from</w:t>
      </w:r>
      <w:r w:rsidR="006E5BE5">
        <w:t xml:space="preserve"> the other types of properties. Hospitality weight on the NPI has decreased in the last three years.</w:t>
      </w:r>
    </w:p>
    <w:p w14:paraId="0E35B421" w14:textId="390884E0" w:rsidR="006E5BE5" w:rsidRDefault="006E5BE5" w:rsidP="006E5BE5">
      <w:pPr>
        <w:pStyle w:val="Newparagraph"/>
        <w:jc w:val="center"/>
      </w:pPr>
      <w:r>
        <w:lastRenderedPageBreak/>
        <w:t>(Include Figure 2 here)</w:t>
      </w:r>
    </w:p>
    <w:p w14:paraId="16DE5494" w14:textId="291B9985" w:rsidR="00493534" w:rsidRPr="00CC1C47" w:rsidRDefault="00493534" w:rsidP="00493534">
      <w:pPr>
        <w:pStyle w:val="Newparagraph"/>
        <w:jc w:val="both"/>
      </w:pPr>
      <w:r>
        <w:t xml:space="preserve">One final aspect </w:t>
      </w:r>
      <w:r w:rsidR="00FC1BC8">
        <w:t>of</w:t>
      </w:r>
      <w:r>
        <w:t xml:space="preserve"> </w:t>
      </w:r>
      <w:r w:rsidR="00DE6BDB">
        <w:t>real estate properties returns is that the total return is mostly explained by the capital component. Although there is an income component, which is</w:t>
      </w:r>
      <w:r w:rsidR="00855A49">
        <w:t xml:space="preserve"> positive</w:t>
      </w:r>
      <w:r w:rsidR="00DE6BDB">
        <w:t xml:space="preserve"> in most of the cases</w:t>
      </w:r>
      <w:r w:rsidR="0077564A">
        <w:t>. Hospitality is the only property type showing negative income returns during the period mentioned. Moreover,</w:t>
      </w:r>
      <w:r w:rsidR="00DE6BDB">
        <w:t xml:space="preserve"> the volatility </w:t>
      </w:r>
      <w:r w:rsidR="00855A49">
        <w:t>and the</w:t>
      </w:r>
      <w:r w:rsidR="00DE6BDB">
        <w:t xml:space="preserve"> </w:t>
      </w:r>
      <w:r w:rsidR="009A3610">
        <w:t>shape of the distribution is driven</w:t>
      </w:r>
      <w:r w:rsidR="00855A49">
        <w:t xml:space="preserve"> mainly</w:t>
      </w:r>
      <w:r w:rsidR="009A3610">
        <w:t xml:space="preserve"> by the capital component.</w:t>
      </w:r>
      <w:r w:rsidR="00A5439B">
        <w:t xml:space="preserve"> </w:t>
      </w:r>
    </w:p>
    <w:p w14:paraId="6940DA75" w14:textId="37394A7D" w:rsidR="00C33915" w:rsidRDefault="00D10254" w:rsidP="00C33915">
      <w:pPr>
        <w:pStyle w:val="Heading1"/>
      </w:pPr>
      <w:r>
        <w:t>Results</w:t>
      </w:r>
    </w:p>
    <w:p w14:paraId="7809B1F0" w14:textId="5439F173" w:rsidR="00C33915" w:rsidRDefault="00C33915" w:rsidP="00C33915">
      <w:pPr>
        <w:pStyle w:val="Paragraph"/>
      </w:pPr>
      <w:r>
        <w:t>Paragraph:</w:t>
      </w:r>
    </w:p>
    <w:p w14:paraId="4DF0AD55" w14:textId="02BE67C3" w:rsidR="00E07385" w:rsidRDefault="00E07385" w:rsidP="00E07385">
      <w:pPr>
        <w:pStyle w:val="Paragraph"/>
        <w:ind w:firstLine="720"/>
        <w:jc w:val="both"/>
      </w:pPr>
      <w:r>
        <w:t xml:space="preserve">There are three </w:t>
      </w:r>
      <w:r>
        <w:t xml:space="preserve">non-exclusive </w:t>
      </w:r>
      <w:r>
        <w:t>reasons why hedg</w:t>
      </w:r>
      <w:r>
        <w:t xml:space="preserve">ing strategies could have failed during the big economic crisis period: (i) the derivatives pricing and simulation model is not appropriate, (ii) measuring linear basis risk is not accurate or (iii) the hedging strategy proposed was not effective. The methodology and results provided in this study strongly suggest that the unique reason must be (iii). While is true that prices where not observed but simulated, </w:t>
      </w:r>
      <w:r w:rsidR="002620F9">
        <w:t>given that there is no publicly available information in commercial real estate derivatives transactions on the NPI, the BFSP model ensures that all stylized facts for the underlying asset are correctly considered and modelled for the Monte Carlo simulation. Also, the calculation for the slope of the basis risk calculation is standard and thoroughly accepted in the industry and the academia.</w:t>
      </w:r>
    </w:p>
    <w:p w14:paraId="5D9F4FAC" w14:textId="5C1D9703" w:rsidR="002620F9" w:rsidRPr="002620F9" w:rsidRDefault="002620F9" w:rsidP="002620F9">
      <w:pPr>
        <w:pStyle w:val="Newparagraph"/>
        <w:jc w:val="both"/>
      </w:pPr>
      <w:r>
        <w:t xml:space="preserve">Derivatives on the NPI miss important pieces in portfolio managers asset allocation that led to important basis risk exposure due to imperfect cross-hedging. Despite property types and regions are highly correlated, the weights on managers portfolios, their individual volatilities and their response to tail events is not that like those of the NPI. </w:t>
      </w:r>
    </w:p>
    <w:p w14:paraId="26FC328F" w14:textId="41831B79" w:rsidR="00C33915" w:rsidRDefault="00A67A52" w:rsidP="00C33915">
      <w:pPr>
        <w:pStyle w:val="Heading1"/>
      </w:pPr>
      <w:r>
        <w:lastRenderedPageBreak/>
        <w:t>Conclusions</w:t>
      </w:r>
    </w:p>
    <w:p w14:paraId="6DE5C833" w14:textId="76374273" w:rsidR="00074D17" w:rsidRDefault="00C33915" w:rsidP="00527F9A">
      <w:pPr>
        <w:pStyle w:val="Paragraph"/>
      </w:pPr>
      <w:r>
        <w:t>Paragraph:</w:t>
      </w:r>
    </w:p>
    <w:p w14:paraId="43967AA1" w14:textId="48F4B450" w:rsidR="002620F9" w:rsidRDefault="002620F9" w:rsidP="002620F9">
      <w:pPr>
        <w:pStyle w:val="Heading1"/>
      </w:pPr>
      <w:r>
        <w:t>Appendix</w:t>
      </w:r>
    </w:p>
    <w:p w14:paraId="40FD395A" w14:textId="249A5078" w:rsidR="002620F9" w:rsidRDefault="00884D4D" w:rsidP="00884D4D">
      <w:pPr>
        <w:pStyle w:val="Paragraph"/>
        <w:jc w:val="both"/>
      </w:pPr>
      <w:r>
        <w:t xml:space="preserve">The aim of this appendix is to give a general view of the code used to </w:t>
      </w:r>
      <w:r w:rsidR="00982294">
        <w:t>create the results of this work</w:t>
      </w:r>
      <w:r>
        <w:t xml:space="preserve">. It was written using an RStudio project (.Rproj) in </w:t>
      </w:r>
      <w:r w:rsidRPr="00884D4D">
        <w:t>R version 4.0.1 (2020-06-06)</w:t>
      </w:r>
      <w:r>
        <w:t xml:space="preserve"> and Tidyverse 1.3.0. </w:t>
      </w:r>
      <w:sdt>
        <w:sdtPr>
          <w:id w:val="-1287421954"/>
          <w:citation/>
        </w:sdtPr>
        <w:sdtContent>
          <w:r>
            <w:fldChar w:fldCharType="begin"/>
          </w:r>
          <w:r>
            <w:rPr>
              <w:lang w:val="en-US"/>
            </w:rPr>
            <w:instrText xml:space="preserve">CITATION Wic19 \l 1033 </w:instrText>
          </w:r>
          <w:r>
            <w:fldChar w:fldCharType="separate"/>
          </w:r>
          <w:r>
            <w:rPr>
              <w:noProof/>
              <w:lang w:val="en-US"/>
            </w:rPr>
            <w:t>(Wickham, et al., 2019)</w:t>
          </w:r>
          <w:r>
            <w:fldChar w:fldCharType="end"/>
          </w:r>
        </w:sdtContent>
      </w:sdt>
      <w:r w:rsidR="00982294">
        <w:t xml:space="preserve"> for CRAN implementation, and it</w:t>
      </w:r>
      <w:r w:rsidR="00B5561F">
        <w:t xml:space="preserve"> i</w:t>
      </w:r>
      <w:r w:rsidR="00982294">
        <w:t xml:space="preserve">s stored on a private folder in GitHub. The code implementation consists of three folders. The “Source” folder contains raw data, where an Excel file provided by NCREIF stores all NPI and subindices quarterly data (for different property types and regions) from 1987 to 2020, and a .csv </w:t>
      </w:r>
      <w:r w:rsidR="00B5561F">
        <w:t>has</w:t>
      </w:r>
      <w:r w:rsidR="00982294">
        <w:t xml:space="preserve"> all 3 Months T-Bills monthly rates provided by the Federal Reserve Economic Data (FRED) since1939 to 2020. </w:t>
      </w:r>
    </w:p>
    <w:p w14:paraId="1E4D692D" w14:textId="70F10534" w:rsidR="0038298F" w:rsidRDefault="00982294" w:rsidP="00982294">
      <w:pPr>
        <w:pStyle w:val="Newparagraph"/>
        <w:jc w:val="both"/>
        <w:rPr>
          <w:lang w:val="en-US"/>
        </w:rPr>
      </w:pPr>
      <w:r>
        <w:rPr>
          <w:lang w:val="en-US"/>
        </w:rPr>
        <w:t>The “Model” folder contains all relevant scripts to create the derivatives simulated prices and the deltas for the basis risk calculations</w:t>
      </w:r>
      <w:r w:rsidR="00B5561F">
        <w:rPr>
          <w:lang w:val="en-US"/>
        </w:rPr>
        <w:t>, returning the p-value of the slope in equation (2)</w:t>
      </w:r>
      <w:r w:rsidR="0038298F">
        <w:rPr>
          <w:lang w:val="en-US"/>
        </w:rPr>
        <w:t xml:space="preserve"> for each case</w:t>
      </w:r>
      <w:r>
        <w:rPr>
          <w:lang w:val="en-US"/>
        </w:rPr>
        <w:t>.</w:t>
      </w:r>
      <w:r w:rsidR="00AD65A8">
        <w:rPr>
          <w:lang w:val="en-US"/>
        </w:rPr>
        <w:t xml:space="preserve"> </w:t>
      </w:r>
      <w:r w:rsidR="00B5561F">
        <w:rPr>
          <w:lang w:val="en-US"/>
        </w:rPr>
        <w:t>The model_main</w:t>
      </w:r>
      <w:r w:rsidR="001C605C">
        <w:rPr>
          <w:lang w:val="en-US"/>
        </w:rPr>
        <w:t>.R</w:t>
      </w:r>
      <w:r w:rsidR="00B5561F">
        <w:rPr>
          <w:lang w:val="en-US"/>
        </w:rPr>
        <w:t xml:space="preserve"> script read</w:t>
      </w:r>
      <w:r w:rsidR="0038298F">
        <w:rPr>
          <w:lang w:val="en-US"/>
        </w:rPr>
        <w:t>s</w:t>
      </w:r>
      <w:r w:rsidR="00B5561F">
        <w:rPr>
          <w:lang w:val="en-US"/>
        </w:rPr>
        <w:t xml:space="preserve"> the source data, create</w:t>
      </w:r>
      <w:r w:rsidR="0038298F">
        <w:rPr>
          <w:lang w:val="en-US"/>
        </w:rPr>
        <w:t>s</w:t>
      </w:r>
      <w:r w:rsidR="00B5561F">
        <w:rPr>
          <w:lang w:val="en-US"/>
        </w:rPr>
        <w:t xml:space="preserve"> the pay-off function</w:t>
      </w:r>
      <w:r w:rsidR="0038298F">
        <w:rPr>
          <w:lang w:val="en-US"/>
        </w:rPr>
        <w:t>s</w:t>
      </w:r>
      <w:r w:rsidR="00B5561F">
        <w:rPr>
          <w:lang w:val="en-US"/>
        </w:rPr>
        <w:t xml:space="preserve"> </w:t>
      </w:r>
      <w:r w:rsidR="0038298F">
        <w:rPr>
          <w:lang w:val="en-US"/>
        </w:rPr>
        <w:t>for</w:t>
      </w:r>
      <w:r w:rsidR="00B5561F">
        <w:rPr>
          <w:lang w:val="en-US"/>
        </w:rPr>
        <w:t xml:space="preserve"> the derivatives </w:t>
      </w:r>
      <w:r w:rsidR="0038298F">
        <w:rPr>
          <w:lang w:val="en-US"/>
        </w:rPr>
        <w:t>studied</w:t>
      </w:r>
      <w:r w:rsidR="00B5561F">
        <w:rPr>
          <w:lang w:val="en-US"/>
        </w:rPr>
        <w:t>, build</w:t>
      </w:r>
      <w:r w:rsidR="0038298F">
        <w:rPr>
          <w:lang w:val="en-US"/>
        </w:rPr>
        <w:t>s</w:t>
      </w:r>
      <w:r w:rsidR="00B5561F">
        <w:rPr>
          <w:lang w:val="en-US"/>
        </w:rPr>
        <w:t xml:space="preserve"> the weights and returns of all asset manager </w:t>
      </w:r>
      <w:r w:rsidR="001C605C">
        <w:rPr>
          <w:lang w:val="en-US"/>
        </w:rPr>
        <w:t xml:space="preserve">simulated </w:t>
      </w:r>
      <w:r w:rsidR="00B5561F">
        <w:rPr>
          <w:lang w:val="en-US"/>
        </w:rPr>
        <w:t xml:space="preserve">portfolios </w:t>
      </w:r>
      <w:r w:rsidR="0038298F">
        <w:rPr>
          <w:lang w:val="en-US"/>
        </w:rPr>
        <w:t xml:space="preserve">using the </w:t>
      </w:r>
      <w:r w:rsidR="0038298F" w:rsidRPr="0038298F">
        <w:rPr>
          <w:i/>
          <w:iCs/>
          <w:lang w:val="en-US"/>
        </w:rPr>
        <w:t>main_portfolios()</w:t>
      </w:r>
      <w:r w:rsidR="0038298F">
        <w:rPr>
          <w:lang w:val="en-US"/>
        </w:rPr>
        <w:t xml:space="preserve"> function, </w:t>
      </w:r>
      <w:r w:rsidR="00B5561F">
        <w:rPr>
          <w:lang w:val="en-US"/>
        </w:rPr>
        <w:t>and call</w:t>
      </w:r>
      <w:r w:rsidR="0038298F">
        <w:rPr>
          <w:lang w:val="en-US"/>
        </w:rPr>
        <w:t>s</w:t>
      </w:r>
      <w:r w:rsidR="00B5561F">
        <w:rPr>
          <w:lang w:val="en-US"/>
        </w:rPr>
        <w:t xml:space="preserve"> </w:t>
      </w:r>
      <w:r w:rsidR="00B5561F" w:rsidRPr="0038298F">
        <w:rPr>
          <w:i/>
          <w:iCs/>
          <w:lang w:val="en-US"/>
        </w:rPr>
        <w:t>main_pvalues()</w:t>
      </w:r>
      <w:r w:rsidR="00B5561F">
        <w:rPr>
          <w:lang w:val="en-US"/>
        </w:rPr>
        <w:t xml:space="preserve"> </w:t>
      </w:r>
      <w:r w:rsidR="0038298F">
        <w:rPr>
          <w:lang w:val="en-US"/>
        </w:rPr>
        <w:t>that store the p-values in .csv files.</w:t>
      </w:r>
      <w:r w:rsidR="00B5561F">
        <w:rPr>
          <w:lang w:val="en-US"/>
        </w:rPr>
        <w:t xml:space="preserve"> </w:t>
      </w:r>
      <w:r w:rsidR="00AD65A8">
        <w:rPr>
          <w:lang w:val="en-US"/>
        </w:rPr>
        <w:t xml:space="preserve">The </w:t>
      </w:r>
      <w:r w:rsidR="0038298F">
        <w:rPr>
          <w:lang w:val="en-US"/>
        </w:rPr>
        <w:t>latter functions are stored in the model_process</w:t>
      </w:r>
      <w:r w:rsidR="001C605C">
        <w:rPr>
          <w:lang w:val="en-US"/>
        </w:rPr>
        <w:t>.R</w:t>
      </w:r>
      <w:r w:rsidR="0038298F">
        <w:rPr>
          <w:lang w:val="en-US"/>
        </w:rPr>
        <w:t xml:space="preserve"> file, along with other functions necessary for the simulation: </w:t>
      </w:r>
      <w:r w:rsidR="0038298F" w:rsidRPr="0038298F">
        <w:rPr>
          <w:i/>
          <w:iCs/>
          <w:lang w:val="en-US"/>
        </w:rPr>
        <w:t>main_prices()</w:t>
      </w:r>
      <w:r w:rsidR="0038298F">
        <w:rPr>
          <w:lang w:val="en-US"/>
        </w:rPr>
        <w:t xml:space="preserve"> and </w:t>
      </w:r>
      <w:r w:rsidR="0038298F" w:rsidRPr="0038298F">
        <w:rPr>
          <w:i/>
          <w:iCs/>
          <w:lang w:val="en-US"/>
        </w:rPr>
        <w:t>main_deltas()</w:t>
      </w:r>
      <w:r w:rsidR="0038298F">
        <w:rPr>
          <w:lang w:val="en-US"/>
        </w:rPr>
        <w:t xml:space="preserve">. The calculation of the p-values </w:t>
      </w:r>
      <w:r w:rsidR="001C605C">
        <w:rPr>
          <w:lang w:val="en-US"/>
        </w:rPr>
        <w:t>uses the</w:t>
      </w:r>
      <w:r w:rsidR="0038298F">
        <w:rPr>
          <w:lang w:val="en-US"/>
        </w:rPr>
        <w:t xml:space="preserve"> </w:t>
      </w:r>
      <w:r w:rsidR="0038298F" w:rsidRPr="0038298F">
        <w:rPr>
          <w:i/>
          <w:iCs/>
          <w:lang w:val="en-US"/>
        </w:rPr>
        <w:t>basis_risk()</w:t>
      </w:r>
      <w:r w:rsidR="0038298F">
        <w:rPr>
          <w:lang w:val="en-US"/>
        </w:rPr>
        <w:t xml:space="preserve"> function of the script model_basis</w:t>
      </w:r>
      <w:r w:rsidR="001C605C">
        <w:rPr>
          <w:lang w:val="en-US"/>
        </w:rPr>
        <w:t>.R</w:t>
      </w:r>
      <w:r w:rsidR="0038298F">
        <w:rPr>
          <w:lang w:val="en-US"/>
        </w:rPr>
        <w:t>, which determine</w:t>
      </w:r>
      <w:r w:rsidR="001C605C">
        <w:rPr>
          <w:lang w:val="en-US"/>
        </w:rPr>
        <w:t>s</w:t>
      </w:r>
      <w:r w:rsidR="0038298F">
        <w:rPr>
          <w:lang w:val="en-US"/>
        </w:rPr>
        <w:t xml:space="preserve"> directly the needed values of the linear regression and avoid unnecessary calculation that base R function</w:t>
      </w:r>
      <w:r w:rsidR="001C605C">
        <w:rPr>
          <w:lang w:val="en-US"/>
        </w:rPr>
        <w:t>s</w:t>
      </w:r>
      <w:r w:rsidR="0038298F">
        <w:rPr>
          <w:lang w:val="en-US"/>
        </w:rPr>
        <w:t xml:space="preserve"> could have done, such as </w:t>
      </w:r>
      <w:r w:rsidR="0038298F" w:rsidRPr="0038298F">
        <w:rPr>
          <w:i/>
          <w:iCs/>
          <w:lang w:val="en-US"/>
        </w:rPr>
        <w:t>lm()</w:t>
      </w:r>
      <w:r w:rsidR="0038298F">
        <w:rPr>
          <w:lang w:val="en-US"/>
        </w:rPr>
        <w:t>.</w:t>
      </w:r>
    </w:p>
    <w:p w14:paraId="600D1DB5" w14:textId="2464E69B" w:rsidR="001C605C" w:rsidRDefault="001C605C" w:rsidP="001C605C">
      <w:pPr>
        <w:pStyle w:val="Newparagraph"/>
        <w:jc w:val="center"/>
      </w:pPr>
      <w:r>
        <w:t xml:space="preserve">(Include Figure </w:t>
      </w:r>
      <w:r>
        <w:t>3</w:t>
      </w:r>
      <w:r>
        <w:t xml:space="preserve"> here)</w:t>
      </w:r>
    </w:p>
    <w:p w14:paraId="696197E5" w14:textId="77777777" w:rsidR="001C605C" w:rsidRDefault="001C605C" w:rsidP="00982294">
      <w:pPr>
        <w:pStyle w:val="Newparagraph"/>
        <w:jc w:val="both"/>
        <w:rPr>
          <w:lang w:val="en-US"/>
        </w:rPr>
      </w:pPr>
    </w:p>
    <w:p w14:paraId="4C356F91" w14:textId="026AF8B0" w:rsidR="00AD65A8" w:rsidRDefault="0038298F" w:rsidP="001C605C">
      <w:pPr>
        <w:pStyle w:val="Newparagraph"/>
        <w:jc w:val="both"/>
        <w:rPr>
          <w:lang w:val="en-US"/>
        </w:rPr>
      </w:pPr>
      <w:r>
        <w:rPr>
          <w:lang w:val="en-US"/>
        </w:rPr>
        <w:lastRenderedPageBreak/>
        <w:t xml:space="preserve">Notice that p-values need from both ΔS and ΔF, which are calculated by </w:t>
      </w:r>
      <w:r w:rsidRPr="0038298F">
        <w:rPr>
          <w:i/>
          <w:iCs/>
          <w:lang w:val="en-US"/>
        </w:rPr>
        <w:t>main_deltas()</w:t>
      </w:r>
      <w:r>
        <w:rPr>
          <w:i/>
          <w:iCs/>
          <w:lang w:val="en-US"/>
        </w:rPr>
        <w:t xml:space="preserve"> </w:t>
      </w:r>
      <w:r>
        <w:rPr>
          <w:lang w:val="en-US"/>
        </w:rPr>
        <w:t xml:space="preserve">given the spot prices (NPI) and the derivatives prices, determined by </w:t>
      </w:r>
      <w:r w:rsidRPr="0038298F">
        <w:rPr>
          <w:i/>
          <w:iCs/>
          <w:lang w:val="en-US"/>
        </w:rPr>
        <w:t>main_prices()</w:t>
      </w:r>
      <w:r w:rsidR="001C605C">
        <w:rPr>
          <w:lang w:val="en-US"/>
        </w:rPr>
        <w:t>. The latter function is the main piece of the methodology of this study. It creates th</w:t>
      </w:r>
      <w:r w:rsidR="006E185D">
        <w:rPr>
          <w:lang w:val="en-US"/>
        </w:rPr>
        <w:t>e</w:t>
      </w:r>
      <w:r w:rsidR="001C605C">
        <w:rPr>
          <w:lang w:val="en-US"/>
        </w:rPr>
        <w:t xml:space="preserve"> </w:t>
      </w:r>
      <w:r w:rsidR="006E185D">
        <w:rPr>
          <w:lang w:val="en-US"/>
        </w:rPr>
        <w:t>prices path</w:t>
      </w:r>
      <w:r w:rsidR="001C605C">
        <w:rPr>
          <w:lang w:val="en-US"/>
        </w:rPr>
        <w:t xml:space="preserve"> for </w:t>
      </w:r>
      <w:r w:rsidR="006E185D">
        <w:rPr>
          <w:lang w:val="en-US"/>
        </w:rPr>
        <w:t>each</w:t>
      </w:r>
      <w:r w:rsidR="001C605C">
        <w:rPr>
          <w:lang w:val="en-US"/>
        </w:rPr>
        <w:t xml:space="preserve"> derivative </w:t>
      </w:r>
      <w:r w:rsidR="006E185D">
        <w:rPr>
          <w:lang w:val="en-US"/>
        </w:rPr>
        <w:t>until maturity</w:t>
      </w:r>
      <w:r w:rsidR="001C605C">
        <w:rPr>
          <w:lang w:val="en-US"/>
        </w:rPr>
        <w:t>. It leverages on</w:t>
      </w:r>
      <w:r w:rsidR="006E185D">
        <w:rPr>
          <w:lang w:val="en-US"/>
        </w:rPr>
        <w:t xml:space="preserve"> the</w:t>
      </w:r>
      <w:r w:rsidR="001C605C">
        <w:rPr>
          <w:lang w:val="en-US"/>
        </w:rPr>
        <w:t xml:space="preserve"> function </w:t>
      </w:r>
      <w:r w:rsidR="001C605C" w:rsidRPr="006E185D">
        <w:rPr>
          <w:i/>
          <w:iCs/>
          <w:lang w:val="en-US"/>
        </w:rPr>
        <w:t>dvt_price()</w:t>
      </w:r>
      <w:r w:rsidR="001C605C">
        <w:rPr>
          <w:lang w:val="en-US"/>
        </w:rPr>
        <w:t xml:space="preserve"> of  </w:t>
      </w:r>
      <w:r w:rsidR="006E185D">
        <w:rPr>
          <w:lang w:val="en-US"/>
        </w:rPr>
        <w:t>model_pricing.R that values derivatives based on the BFSP model. This pricing model requires of stochastic simulation for the efficient underlying asset price process, the underlying index value process and the interest rates process, which are created by functions in model_underlying.R and model_rates.R. The script model_parameters.R calculates the AR(p) model parameters for the underlying asset using the stats::ar.ols() function of R, that selects the best model based on the Akaike Criterion information for up to 13 lags.</w:t>
      </w:r>
    </w:p>
    <w:p w14:paraId="5CD33BD2" w14:textId="655356D8" w:rsidR="006E185D" w:rsidRPr="00982294" w:rsidRDefault="006E185D" w:rsidP="001C605C">
      <w:pPr>
        <w:pStyle w:val="Newparagraph"/>
        <w:jc w:val="both"/>
        <w:rPr>
          <w:lang w:val="en-US"/>
        </w:rPr>
      </w:pPr>
      <w:r>
        <w:rPr>
          <w:lang w:val="en-US"/>
        </w:rPr>
        <w:t xml:space="preserve">All prices and p-values are stored in a folder for each derivative in the “Output” folder. This folder also contains a script for each of the </w:t>
      </w:r>
      <w:r w:rsidR="005E56BA">
        <w:rPr>
          <w:lang w:val="en-US"/>
        </w:rPr>
        <w:t xml:space="preserve">tables and </w:t>
      </w:r>
      <w:r>
        <w:rPr>
          <w:lang w:val="en-US"/>
        </w:rPr>
        <w:t>figures presented along the study, except for Figure 3</w:t>
      </w:r>
      <w:r w:rsidR="005E56BA">
        <w:rPr>
          <w:lang w:val="en-US"/>
        </w:rPr>
        <w:t>,</w:t>
      </w:r>
      <w:r>
        <w:rPr>
          <w:lang w:val="en-US"/>
        </w:rPr>
        <w:t xml:space="preserve"> which was built using Microsoft Power Point.</w:t>
      </w:r>
    </w:p>
    <w:p w14:paraId="271E35AE" w14:textId="19438449" w:rsidR="00074D17" w:rsidRDefault="00CC1C47" w:rsidP="00CC1C47">
      <w:pPr>
        <w:pStyle w:val="Heading1"/>
      </w:pPr>
      <w:r>
        <w:t>Tables and Figures</w:t>
      </w:r>
    </w:p>
    <w:p w14:paraId="005F1DB1" w14:textId="723ECF38" w:rsidR="001D5B9C" w:rsidRDefault="001D5B9C" w:rsidP="00177CD7">
      <w:pPr>
        <w:pStyle w:val="Figurecaption"/>
        <w:jc w:val="center"/>
        <w:rPr>
          <w:noProof/>
        </w:rPr>
      </w:pPr>
      <w:r>
        <w:rPr>
          <w:noProof/>
        </w:rPr>
        <w:drawing>
          <wp:inline distT="0" distB="0" distL="0" distR="0" wp14:anchorId="6EA09C0A" wp14:editId="520EC0F8">
            <wp:extent cx="5006340" cy="2982952"/>
            <wp:effectExtent l="0" t="0" r="3810" b="825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9692" cy="2984949"/>
                    </a:xfrm>
                    <a:prstGeom prst="rect">
                      <a:avLst/>
                    </a:prstGeom>
                  </pic:spPr>
                </pic:pic>
              </a:graphicData>
            </a:graphic>
          </wp:inline>
        </w:drawing>
      </w:r>
    </w:p>
    <w:p w14:paraId="5BEC590C" w14:textId="45C248B7" w:rsidR="00FE4713" w:rsidRDefault="004E56A8" w:rsidP="0080308E">
      <w:pPr>
        <w:pStyle w:val="Figurecaption"/>
      </w:pPr>
      <w:r>
        <w:lastRenderedPageBreak/>
        <w:t xml:space="preserve">Figure 1. </w:t>
      </w:r>
      <w:r w:rsidR="00074D17">
        <w:t xml:space="preserve">NCREIF </w:t>
      </w:r>
      <w:r w:rsidR="000249A5">
        <w:t>r</w:t>
      </w:r>
      <w:r w:rsidR="00074D17">
        <w:t>eturns</w:t>
      </w:r>
      <w:r w:rsidR="00774CBC">
        <w:t xml:space="preserve"> short-term</w:t>
      </w:r>
      <w:r w:rsidR="00074D17">
        <w:t xml:space="preserve"> </w:t>
      </w:r>
      <w:r w:rsidR="00CC1C47">
        <w:t>positive serial correlation</w:t>
      </w:r>
      <w:r w:rsidR="00997B0F">
        <w:t>.</w:t>
      </w:r>
      <w:r w:rsidR="00481343">
        <w:t xml:space="preserve"> </w:t>
      </w:r>
    </w:p>
    <w:p w14:paraId="0E177381" w14:textId="35790556" w:rsidR="00493534" w:rsidRDefault="00493534" w:rsidP="00177CD7">
      <w:pPr>
        <w:jc w:val="center"/>
      </w:pPr>
      <w:r>
        <w:rPr>
          <w:noProof/>
        </w:rPr>
        <w:drawing>
          <wp:inline distT="0" distB="0" distL="0" distR="0" wp14:anchorId="7ECE79C6" wp14:editId="238948DD">
            <wp:extent cx="5196840" cy="3096458"/>
            <wp:effectExtent l="0" t="0" r="3810" b="889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3178" cy="3100234"/>
                    </a:xfrm>
                    <a:prstGeom prst="rect">
                      <a:avLst/>
                    </a:prstGeom>
                  </pic:spPr>
                </pic:pic>
              </a:graphicData>
            </a:graphic>
          </wp:inline>
        </w:drawing>
      </w:r>
    </w:p>
    <w:p w14:paraId="653A02E5" w14:textId="0EE7EC5D" w:rsidR="00493534" w:rsidRDefault="00493534" w:rsidP="00177CD7">
      <w:pPr>
        <w:pStyle w:val="Figurecaption"/>
      </w:pPr>
      <w:r>
        <w:t xml:space="preserve">Figure 2. </w:t>
      </w:r>
      <w:r w:rsidR="00315BCA">
        <w:t>Strong</w:t>
      </w:r>
      <w:r w:rsidR="00774CBC">
        <w:t xml:space="preserve"> correlation between </w:t>
      </w:r>
      <w:r w:rsidR="00315BCA">
        <w:t xml:space="preserve">the NPI index and property type </w:t>
      </w:r>
      <w:r w:rsidR="00C25F96">
        <w:t>subindexes</w:t>
      </w:r>
      <w:r w:rsidR="00315BCA">
        <w:t xml:space="preserve"> returns</w:t>
      </w:r>
      <w:r w:rsidR="002A62BC">
        <w:t>, with negative skewness</w:t>
      </w:r>
      <w:r w:rsidR="00315BCA">
        <w:t>.</w:t>
      </w:r>
      <w:r>
        <w:t xml:space="preserve"> </w:t>
      </w:r>
    </w:p>
    <w:p w14:paraId="7263664D" w14:textId="77777777" w:rsidR="001C605C" w:rsidRPr="001C605C" w:rsidRDefault="001C605C" w:rsidP="001C605C"/>
    <w:p w14:paraId="12C8E2F9" w14:textId="5472279D" w:rsidR="001C605C" w:rsidRDefault="006E185D" w:rsidP="006E185D">
      <w:pPr>
        <w:pStyle w:val="Figurecaption"/>
        <w:jc w:val="both"/>
      </w:pPr>
      <w:r>
        <w:rPr>
          <w:noProof/>
        </w:rPr>
        <w:drawing>
          <wp:inline distT="0" distB="0" distL="0" distR="0" wp14:anchorId="012532DB" wp14:editId="7A817BAA">
            <wp:extent cx="5394960" cy="2034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034540"/>
                    </a:xfrm>
                    <a:prstGeom prst="rect">
                      <a:avLst/>
                    </a:prstGeom>
                    <a:noFill/>
                    <a:ln>
                      <a:noFill/>
                    </a:ln>
                  </pic:spPr>
                </pic:pic>
              </a:graphicData>
            </a:graphic>
          </wp:inline>
        </w:drawing>
      </w:r>
      <w:r w:rsidR="001C605C" w:rsidRPr="001C605C">
        <w:t xml:space="preserve"> </w:t>
      </w:r>
      <w:r w:rsidR="001C605C">
        <w:t xml:space="preserve">Figure </w:t>
      </w:r>
      <w:r w:rsidR="001C605C">
        <w:t>3</w:t>
      </w:r>
      <w:r w:rsidR="001C605C">
        <w:t xml:space="preserve">. </w:t>
      </w:r>
      <w:r w:rsidR="001C605C">
        <w:t xml:space="preserve">R Project </w:t>
      </w:r>
      <w:r>
        <w:t xml:space="preserve">modelling scripts </w:t>
      </w:r>
      <w:r w:rsidR="001C605C">
        <w:t xml:space="preserve">architecture used for the </w:t>
      </w:r>
      <w:r>
        <w:t>simulation of derivatives prices and calculation of the p-values of each hedging strategy</w:t>
      </w:r>
      <w:r w:rsidR="001C605C">
        <w:t xml:space="preserve">. </w:t>
      </w:r>
    </w:p>
    <w:p w14:paraId="22187D2C" w14:textId="3FB81E15" w:rsidR="001C605C" w:rsidRPr="001C605C" w:rsidRDefault="001C605C" w:rsidP="001C605C"/>
    <w:sectPr w:rsidR="001C605C" w:rsidRPr="001C605C" w:rsidSect="00074B81">
      <w:headerReference w:type="even" r:id="rId11"/>
      <w:headerReference w:type="default" r:id="rId12"/>
      <w:footerReference w:type="even" r:id="rId13"/>
      <w:footerReference w:type="default" r:id="rId14"/>
      <w:headerReference w:type="first" r:id="rId15"/>
      <w:footerReference w:type="first" r:id="rId16"/>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732C" w14:textId="77777777" w:rsidR="0071438A" w:rsidRDefault="0071438A" w:rsidP="00AF2C92">
      <w:r>
        <w:separator/>
      </w:r>
    </w:p>
  </w:endnote>
  <w:endnote w:type="continuationSeparator" w:id="0">
    <w:p w14:paraId="6109F2BE" w14:textId="77777777" w:rsidR="0071438A" w:rsidRDefault="0071438A"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9BB6"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0B8D"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E94A"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D6FC" w14:textId="77777777" w:rsidR="0071438A" w:rsidRDefault="0071438A" w:rsidP="00AF2C92">
      <w:r>
        <w:separator/>
      </w:r>
    </w:p>
  </w:footnote>
  <w:footnote w:type="continuationSeparator" w:id="0">
    <w:p w14:paraId="0CE45106" w14:textId="77777777" w:rsidR="0071438A" w:rsidRDefault="0071438A"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3E2"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79"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1807"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54"/>
    <w:rsid w:val="00001899"/>
    <w:rsid w:val="00003806"/>
    <w:rsid w:val="000038A1"/>
    <w:rsid w:val="000049AD"/>
    <w:rsid w:val="000058D5"/>
    <w:rsid w:val="00005E99"/>
    <w:rsid w:val="0000681B"/>
    <w:rsid w:val="000074B4"/>
    <w:rsid w:val="00011D8C"/>
    <w:rsid w:val="000133C0"/>
    <w:rsid w:val="00014C4E"/>
    <w:rsid w:val="00015CD7"/>
    <w:rsid w:val="00017107"/>
    <w:rsid w:val="000202E2"/>
    <w:rsid w:val="00021866"/>
    <w:rsid w:val="00022441"/>
    <w:rsid w:val="0002261E"/>
    <w:rsid w:val="000236C1"/>
    <w:rsid w:val="00023DD2"/>
    <w:rsid w:val="00024839"/>
    <w:rsid w:val="000249A5"/>
    <w:rsid w:val="00025B0C"/>
    <w:rsid w:val="00026871"/>
    <w:rsid w:val="000269E6"/>
    <w:rsid w:val="0003178F"/>
    <w:rsid w:val="00032BE6"/>
    <w:rsid w:val="000367A3"/>
    <w:rsid w:val="00037A98"/>
    <w:rsid w:val="0004008E"/>
    <w:rsid w:val="000427FB"/>
    <w:rsid w:val="00043E90"/>
    <w:rsid w:val="0004455E"/>
    <w:rsid w:val="00046CCE"/>
    <w:rsid w:val="00046D6D"/>
    <w:rsid w:val="00047CB5"/>
    <w:rsid w:val="00051726"/>
    <w:rsid w:val="00051FAA"/>
    <w:rsid w:val="0005645C"/>
    <w:rsid w:val="000572A9"/>
    <w:rsid w:val="00061325"/>
    <w:rsid w:val="000629FD"/>
    <w:rsid w:val="000664FD"/>
    <w:rsid w:val="00066CE2"/>
    <w:rsid w:val="00072A26"/>
    <w:rsid w:val="000733AC"/>
    <w:rsid w:val="00074B81"/>
    <w:rsid w:val="00074D17"/>
    <w:rsid w:val="00074D22"/>
    <w:rsid w:val="00075081"/>
    <w:rsid w:val="0007528A"/>
    <w:rsid w:val="00077080"/>
    <w:rsid w:val="000771BD"/>
    <w:rsid w:val="000811AB"/>
    <w:rsid w:val="00083C5F"/>
    <w:rsid w:val="0009061A"/>
    <w:rsid w:val="0009172C"/>
    <w:rsid w:val="0009260E"/>
    <w:rsid w:val="000930EC"/>
    <w:rsid w:val="00095E61"/>
    <w:rsid w:val="000966C1"/>
    <w:rsid w:val="00096841"/>
    <w:rsid w:val="000970AC"/>
    <w:rsid w:val="000A1167"/>
    <w:rsid w:val="000A12C6"/>
    <w:rsid w:val="000A2C54"/>
    <w:rsid w:val="000A4428"/>
    <w:rsid w:val="000A6D40"/>
    <w:rsid w:val="000A7BC3"/>
    <w:rsid w:val="000B0808"/>
    <w:rsid w:val="000B1661"/>
    <w:rsid w:val="000B1F0B"/>
    <w:rsid w:val="000B2E88"/>
    <w:rsid w:val="000B4603"/>
    <w:rsid w:val="000B6380"/>
    <w:rsid w:val="000C09BE"/>
    <w:rsid w:val="000C1380"/>
    <w:rsid w:val="000C554F"/>
    <w:rsid w:val="000C7687"/>
    <w:rsid w:val="000D0DC5"/>
    <w:rsid w:val="000D15FF"/>
    <w:rsid w:val="000D28DF"/>
    <w:rsid w:val="000D426C"/>
    <w:rsid w:val="000D488B"/>
    <w:rsid w:val="000D68DF"/>
    <w:rsid w:val="000E138D"/>
    <w:rsid w:val="000E187A"/>
    <w:rsid w:val="000E2D61"/>
    <w:rsid w:val="000E450E"/>
    <w:rsid w:val="000E6259"/>
    <w:rsid w:val="000E6332"/>
    <w:rsid w:val="000F0895"/>
    <w:rsid w:val="000F139C"/>
    <w:rsid w:val="000F27CA"/>
    <w:rsid w:val="000F4108"/>
    <w:rsid w:val="000F4677"/>
    <w:rsid w:val="000F48CC"/>
    <w:rsid w:val="000F5BE0"/>
    <w:rsid w:val="00100587"/>
    <w:rsid w:val="0010284E"/>
    <w:rsid w:val="00103122"/>
    <w:rsid w:val="0010336A"/>
    <w:rsid w:val="00103553"/>
    <w:rsid w:val="001050F1"/>
    <w:rsid w:val="00105AEA"/>
    <w:rsid w:val="0010610E"/>
    <w:rsid w:val="00106DAF"/>
    <w:rsid w:val="0010726A"/>
    <w:rsid w:val="00114ABE"/>
    <w:rsid w:val="00116023"/>
    <w:rsid w:val="00116625"/>
    <w:rsid w:val="00122B04"/>
    <w:rsid w:val="00134A51"/>
    <w:rsid w:val="0013690F"/>
    <w:rsid w:val="00140727"/>
    <w:rsid w:val="001446D6"/>
    <w:rsid w:val="00145EB8"/>
    <w:rsid w:val="001462A5"/>
    <w:rsid w:val="001477CB"/>
    <w:rsid w:val="00152D88"/>
    <w:rsid w:val="00156A81"/>
    <w:rsid w:val="00160628"/>
    <w:rsid w:val="00160EE1"/>
    <w:rsid w:val="00161344"/>
    <w:rsid w:val="00162195"/>
    <w:rsid w:val="00162790"/>
    <w:rsid w:val="0016322A"/>
    <w:rsid w:val="00165A21"/>
    <w:rsid w:val="001705CE"/>
    <w:rsid w:val="00175CCF"/>
    <w:rsid w:val="0017714B"/>
    <w:rsid w:val="00177CD7"/>
    <w:rsid w:val="001804DF"/>
    <w:rsid w:val="00181BDC"/>
    <w:rsid w:val="00181DB0"/>
    <w:rsid w:val="001829E3"/>
    <w:rsid w:val="00183C72"/>
    <w:rsid w:val="00185F3E"/>
    <w:rsid w:val="00190C78"/>
    <w:rsid w:val="001924C0"/>
    <w:rsid w:val="0019488C"/>
    <w:rsid w:val="00195397"/>
    <w:rsid w:val="0019731E"/>
    <w:rsid w:val="001A09FE"/>
    <w:rsid w:val="001A12A8"/>
    <w:rsid w:val="001A2491"/>
    <w:rsid w:val="001A5FE0"/>
    <w:rsid w:val="001A67C9"/>
    <w:rsid w:val="001A69DE"/>
    <w:rsid w:val="001A713C"/>
    <w:rsid w:val="001A7B79"/>
    <w:rsid w:val="001B1C7C"/>
    <w:rsid w:val="001B2374"/>
    <w:rsid w:val="001B398F"/>
    <w:rsid w:val="001B46C6"/>
    <w:rsid w:val="001B4B48"/>
    <w:rsid w:val="001B4D1F"/>
    <w:rsid w:val="001B701E"/>
    <w:rsid w:val="001B7681"/>
    <w:rsid w:val="001B7CAE"/>
    <w:rsid w:val="001B7F14"/>
    <w:rsid w:val="001C0772"/>
    <w:rsid w:val="001C0D4F"/>
    <w:rsid w:val="001C1BA3"/>
    <w:rsid w:val="001C1DEC"/>
    <w:rsid w:val="001C5736"/>
    <w:rsid w:val="001C605C"/>
    <w:rsid w:val="001C73CA"/>
    <w:rsid w:val="001D0BFF"/>
    <w:rsid w:val="001D2528"/>
    <w:rsid w:val="001D5B9C"/>
    <w:rsid w:val="001D647F"/>
    <w:rsid w:val="001D6857"/>
    <w:rsid w:val="001E0572"/>
    <w:rsid w:val="001E0A67"/>
    <w:rsid w:val="001E1028"/>
    <w:rsid w:val="001E14E2"/>
    <w:rsid w:val="001E6302"/>
    <w:rsid w:val="001E6B13"/>
    <w:rsid w:val="001E7A63"/>
    <w:rsid w:val="001E7DCB"/>
    <w:rsid w:val="001E7DFC"/>
    <w:rsid w:val="001F21B1"/>
    <w:rsid w:val="001F2679"/>
    <w:rsid w:val="001F3411"/>
    <w:rsid w:val="001F4287"/>
    <w:rsid w:val="001F4DBA"/>
    <w:rsid w:val="001F7DC1"/>
    <w:rsid w:val="0020051E"/>
    <w:rsid w:val="0020267D"/>
    <w:rsid w:val="0020415E"/>
    <w:rsid w:val="00204FF4"/>
    <w:rsid w:val="002102D6"/>
    <w:rsid w:val="0021056E"/>
    <w:rsid w:val="0021075D"/>
    <w:rsid w:val="00210947"/>
    <w:rsid w:val="0021165A"/>
    <w:rsid w:val="00211BC9"/>
    <w:rsid w:val="00211C84"/>
    <w:rsid w:val="002128E4"/>
    <w:rsid w:val="00214331"/>
    <w:rsid w:val="002160B4"/>
    <w:rsid w:val="0021620C"/>
    <w:rsid w:val="00216E78"/>
    <w:rsid w:val="00217275"/>
    <w:rsid w:val="0022117E"/>
    <w:rsid w:val="002211DD"/>
    <w:rsid w:val="002247E5"/>
    <w:rsid w:val="002252AD"/>
    <w:rsid w:val="00232FD8"/>
    <w:rsid w:val="00233663"/>
    <w:rsid w:val="00234548"/>
    <w:rsid w:val="00236C44"/>
    <w:rsid w:val="00236F4B"/>
    <w:rsid w:val="00237C5B"/>
    <w:rsid w:val="00241F08"/>
    <w:rsid w:val="00242B0D"/>
    <w:rsid w:val="002441ED"/>
    <w:rsid w:val="00245AB9"/>
    <w:rsid w:val="002465E6"/>
    <w:rsid w:val="002465EB"/>
    <w:rsid w:val="002467C6"/>
    <w:rsid w:val="0024692A"/>
    <w:rsid w:val="00250399"/>
    <w:rsid w:val="00252BBA"/>
    <w:rsid w:val="00253123"/>
    <w:rsid w:val="0025452C"/>
    <w:rsid w:val="00255327"/>
    <w:rsid w:val="002620F9"/>
    <w:rsid w:val="0026267A"/>
    <w:rsid w:val="00264001"/>
    <w:rsid w:val="00264178"/>
    <w:rsid w:val="00266354"/>
    <w:rsid w:val="00267A18"/>
    <w:rsid w:val="0027030A"/>
    <w:rsid w:val="002713A3"/>
    <w:rsid w:val="00271658"/>
    <w:rsid w:val="002719B7"/>
    <w:rsid w:val="00272B24"/>
    <w:rsid w:val="00273052"/>
    <w:rsid w:val="00273462"/>
    <w:rsid w:val="0027395B"/>
    <w:rsid w:val="00275854"/>
    <w:rsid w:val="00277E74"/>
    <w:rsid w:val="0028012B"/>
    <w:rsid w:val="00283B41"/>
    <w:rsid w:val="00285F28"/>
    <w:rsid w:val="00286398"/>
    <w:rsid w:val="0029157C"/>
    <w:rsid w:val="00292030"/>
    <w:rsid w:val="0029223E"/>
    <w:rsid w:val="002956AC"/>
    <w:rsid w:val="002A3C42"/>
    <w:rsid w:val="002A4455"/>
    <w:rsid w:val="002A5D75"/>
    <w:rsid w:val="002A62BC"/>
    <w:rsid w:val="002B1B1A"/>
    <w:rsid w:val="002B3DD0"/>
    <w:rsid w:val="002B65E1"/>
    <w:rsid w:val="002B6C5F"/>
    <w:rsid w:val="002B7228"/>
    <w:rsid w:val="002C0641"/>
    <w:rsid w:val="002C3985"/>
    <w:rsid w:val="002C53EE"/>
    <w:rsid w:val="002D24F7"/>
    <w:rsid w:val="002D2799"/>
    <w:rsid w:val="002D2CD7"/>
    <w:rsid w:val="002D4DDC"/>
    <w:rsid w:val="002D4F75"/>
    <w:rsid w:val="002D6493"/>
    <w:rsid w:val="002D655D"/>
    <w:rsid w:val="002D6ECC"/>
    <w:rsid w:val="002D7218"/>
    <w:rsid w:val="002D7AB6"/>
    <w:rsid w:val="002E06D0"/>
    <w:rsid w:val="002E1F73"/>
    <w:rsid w:val="002E2AE7"/>
    <w:rsid w:val="002E3A94"/>
    <w:rsid w:val="002E3C27"/>
    <w:rsid w:val="002E403A"/>
    <w:rsid w:val="002E6796"/>
    <w:rsid w:val="002E7F3A"/>
    <w:rsid w:val="002F246C"/>
    <w:rsid w:val="002F474D"/>
    <w:rsid w:val="002F4EDB"/>
    <w:rsid w:val="002F6054"/>
    <w:rsid w:val="00301024"/>
    <w:rsid w:val="00302FDC"/>
    <w:rsid w:val="00303BA3"/>
    <w:rsid w:val="00310E13"/>
    <w:rsid w:val="0031435D"/>
    <w:rsid w:val="00315713"/>
    <w:rsid w:val="00315BCA"/>
    <w:rsid w:val="0031686C"/>
    <w:rsid w:val="00316FE0"/>
    <w:rsid w:val="003179F2"/>
    <w:rsid w:val="00317DD5"/>
    <w:rsid w:val="003204D2"/>
    <w:rsid w:val="00320695"/>
    <w:rsid w:val="00325418"/>
    <w:rsid w:val="0032605E"/>
    <w:rsid w:val="003275D1"/>
    <w:rsid w:val="00330717"/>
    <w:rsid w:val="00330B2A"/>
    <w:rsid w:val="0033161D"/>
    <w:rsid w:val="00331E17"/>
    <w:rsid w:val="00333063"/>
    <w:rsid w:val="00333741"/>
    <w:rsid w:val="00333F2B"/>
    <w:rsid w:val="00334E74"/>
    <w:rsid w:val="003408E3"/>
    <w:rsid w:val="00340914"/>
    <w:rsid w:val="00342DC5"/>
    <w:rsid w:val="00343480"/>
    <w:rsid w:val="00344112"/>
    <w:rsid w:val="00345E89"/>
    <w:rsid w:val="00351E1C"/>
    <w:rsid w:val="003522A1"/>
    <w:rsid w:val="0035254B"/>
    <w:rsid w:val="00353555"/>
    <w:rsid w:val="003565D4"/>
    <w:rsid w:val="003607FB"/>
    <w:rsid w:val="00360FD5"/>
    <w:rsid w:val="0036340D"/>
    <w:rsid w:val="003634A5"/>
    <w:rsid w:val="003637B9"/>
    <w:rsid w:val="0036384C"/>
    <w:rsid w:val="00366868"/>
    <w:rsid w:val="00367316"/>
    <w:rsid w:val="00367506"/>
    <w:rsid w:val="00370085"/>
    <w:rsid w:val="0037367D"/>
    <w:rsid w:val="00373891"/>
    <w:rsid w:val="003744A7"/>
    <w:rsid w:val="00374909"/>
    <w:rsid w:val="00376235"/>
    <w:rsid w:val="00381FB6"/>
    <w:rsid w:val="0038298F"/>
    <w:rsid w:val="003831D2"/>
    <w:rsid w:val="003836D3"/>
    <w:rsid w:val="00383A52"/>
    <w:rsid w:val="0038493E"/>
    <w:rsid w:val="00390C26"/>
    <w:rsid w:val="00391652"/>
    <w:rsid w:val="003922DF"/>
    <w:rsid w:val="00394852"/>
    <w:rsid w:val="0039507F"/>
    <w:rsid w:val="003A0D77"/>
    <w:rsid w:val="003A125D"/>
    <w:rsid w:val="003A1260"/>
    <w:rsid w:val="003A295F"/>
    <w:rsid w:val="003A4101"/>
    <w:rsid w:val="003A41DD"/>
    <w:rsid w:val="003A68F2"/>
    <w:rsid w:val="003A7033"/>
    <w:rsid w:val="003A7E49"/>
    <w:rsid w:val="003B3A1D"/>
    <w:rsid w:val="003B47FE"/>
    <w:rsid w:val="003B4B7F"/>
    <w:rsid w:val="003B5673"/>
    <w:rsid w:val="003B6287"/>
    <w:rsid w:val="003B62C9"/>
    <w:rsid w:val="003C2FDB"/>
    <w:rsid w:val="003C7176"/>
    <w:rsid w:val="003C7C6E"/>
    <w:rsid w:val="003D0929"/>
    <w:rsid w:val="003D2F11"/>
    <w:rsid w:val="003D4729"/>
    <w:rsid w:val="003D7DD6"/>
    <w:rsid w:val="003E142E"/>
    <w:rsid w:val="003E272C"/>
    <w:rsid w:val="003E2EE2"/>
    <w:rsid w:val="003E5AAF"/>
    <w:rsid w:val="003E600D"/>
    <w:rsid w:val="003E64DF"/>
    <w:rsid w:val="003E6A5D"/>
    <w:rsid w:val="003F0BDB"/>
    <w:rsid w:val="003F193A"/>
    <w:rsid w:val="003F4207"/>
    <w:rsid w:val="003F5C46"/>
    <w:rsid w:val="003F7CBB"/>
    <w:rsid w:val="003F7D34"/>
    <w:rsid w:val="00405F19"/>
    <w:rsid w:val="00411A87"/>
    <w:rsid w:val="00412C8E"/>
    <w:rsid w:val="00414F70"/>
    <w:rsid w:val="0041518D"/>
    <w:rsid w:val="004218DF"/>
    <w:rsid w:val="00421BB7"/>
    <w:rsid w:val="0042221D"/>
    <w:rsid w:val="00424DD3"/>
    <w:rsid w:val="00425A6A"/>
    <w:rsid w:val="004269C5"/>
    <w:rsid w:val="0043382D"/>
    <w:rsid w:val="00435939"/>
    <w:rsid w:val="00436CAA"/>
    <w:rsid w:val="00437CC7"/>
    <w:rsid w:val="00437D2D"/>
    <w:rsid w:val="00440E0E"/>
    <w:rsid w:val="00442B9C"/>
    <w:rsid w:val="004451F7"/>
    <w:rsid w:val="00445EFA"/>
    <w:rsid w:val="0044738A"/>
    <w:rsid w:val="004473D3"/>
    <w:rsid w:val="004517CB"/>
    <w:rsid w:val="00452231"/>
    <w:rsid w:val="00455046"/>
    <w:rsid w:val="00460314"/>
    <w:rsid w:val="00460C13"/>
    <w:rsid w:val="004614DB"/>
    <w:rsid w:val="00463228"/>
    <w:rsid w:val="00463782"/>
    <w:rsid w:val="0046493A"/>
    <w:rsid w:val="00465C54"/>
    <w:rsid w:val="004660CD"/>
    <w:rsid w:val="004667E0"/>
    <w:rsid w:val="00466D52"/>
    <w:rsid w:val="0046760E"/>
    <w:rsid w:val="00470431"/>
    <w:rsid w:val="00470E10"/>
    <w:rsid w:val="0047250E"/>
    <w:rsid w:val="00472745"/>
    <w:rsid w:val="004754B1"/>
    <w:rsid w:val="00476007"/>
    <w:rsid w:val="00476AEA"/>
    <w:rsid w:val="00477A97"/>
    <w:rsid w:val="00477B56"/>
    <w:rsid w:val="00481343"/>
    <w:rsid w:val="00481B83"/>
    <w:rsid w:val="0048549E"/>
    <w:rsid w:val="004925A5"/>
    <w:rsid w:val="004930C6"/>
    <w:rsid w:val="00493347"/>
    <w:rsid w:val="00493534"/>
    <w:rsid w:val="00494113"/>
    <w:rsid w:val="00496092"/>
    <w:rsid w:val="00496C9A"/>
    <w:rsid w:val="00496CC4"/>
    <w:rsid w:val="004A08DB"/>
    <w:rsid w:val="004A25D0"/>
    <w:rsid w:val="004A37E8"/>
    <w:rsid w:val="004A6D4E"/>
    <w:rsid w:val="004A7549"/>
    <w:rsid w:val="004A7AEC"/>
    <w:rsid w:val="004B09D4"/>
    <w:rsid w:val="004B2235"/>
    <w:rsid w:val="004B309D"/>
    <w:rsid w:val="004B330A"/>
    <w:rsid w:val="004B489C"/>
    <w:rsid w:val="004B7C8E"/>
    <w:rsid w:val="004C08C0"/>
    <w:rsid w:val="004C3B18"/>
    <w:rsid w:val="004C3D3C"/>
    <w:rsid w:val="004C7686"/>
    <w:rsid w:val="004D0EDC"/>
    <w:rsid w:val="004D1220"/>
    <w:rsid w:val="004D14B3"/>
    <w:rsid w:val="004D1529"/>
    <w:rsid w:val="004D2253"/>
    <w:rsid w:val="004D5514"/>
    <w:rsid w:val="004D56C3"/>
    <w:rsid w:val="004E02FE"/>
    <w:rsid w:val="004E0338"/>
    <w:rsid w:val="004E3457"/>
    <w:rsid w:val="004E3FD4"/>
    <w:rsid w:val="004E44FD"/>
    <w:rsid w:val="004E4574"/>
    <w:rsid w:val="004E485C"/>
    <w:rsid w:val="004E4FF3"/>
    <w:rsid w:val="004E56A8"/>
    <w:rsid w:val="004F3B55"/>
    <w:rsid w:val="004F428E"/>
    <w:rsid w:val="004F4B51"/>
    <w:rsid w:val="004F4E46"/>
    <w:rsid w:val="004F6B7D"/>
    <w:rsid w:val="004F7F59"/>
    <w:rsid w:val="005015F6"/>
    <w:rsid w:val="005030C4"/>
    <w:rsid w:val="005031C5"/>
    <w:rsid w:val="00504FDC"/>
    <w:rsid w:val="00507737"/>
    <w:rsid w:val="005120CC"/>
    <w:rsid w:val="00512B7B"/>
    <w:rsid w:val="00514EA1"/>
    <w:rsid w:val="0051706D"/>
    <w:rsid w:val="005177EA"/>
    <w:rsid w:val="0051798B"/>
    <w:rsid w:val="00521F5A"/>
    <w:rsid w:val="0052419B"/>
    <w:rsid w:val="00525A51"/>
    <w:rsid w:val="00525E06"/>
    <w:rsid w:val="00526454"/>
    <w:rsid w:val="00527F9A"/>
    <w:rsid w:val="00531823"/>
    <w:rsid w:val="00531BAD"/>
    <w:rsid w:val="00534ECC"/>
    <w:rsid w:val="00536613"/>
    <w:rsid w:val="0053720D"/>
    <w:rsid w:val="00540BAF"/>
    <w:rsid w:val="00540EF5"/>
    <w:rsid w:val="00541BF3"/>
    <w:rsid w:val="00541CD3"/>
    <w:rsid w:val="00544946"/>
    <w:rsid w:val="00544EB7"/>
    <w:rsid w:val="005476FA"/>
    <w:rsid w:val="0055026B"/>
    <w:rsid w:val="00550E5A"/>
    <w:rsid w:val="0055595E"/>
    <w:rsid w:val="00557988"/>
    <w:rsid w:val="00557A11"/>
    <w:rsid w:val="005613F3"/>
    <w:rsid w:val="00562C49"/>
    <w:rsid w:val="00562DEF"/>
    <w:rsid w:val="0056321A"/>
    <w:rsid w:val="00563A35"/>
    <w:rsid w:val="0056433A"/>
    <w:rsid w:val="00564E30"/>
    <w:rsid w:val="00565C0B"/>
    <w:rsid w:val="00566596"/>
    <w:rsid w:val="005706A8"/>
    <w:rsid w:val="005741E9"/>
    <w:rsid w:val="005748CF"/>
    <w:rsid w:val="00584270"/>
    <w:rsid w:val="00584738"/>
    <w:rsid w:val="005920B0"/>
    <w:rsid w:val="0059380D"/>
    <w:rsid w:val="005939D9"/>
    <w:rsid w:val="005943D5"/>
    <w:rsid w:val="00595A8F"/>
    <w:rsid w:val="005977C2"/>
    <w:rsid w:val="00597BF2"/>
    <w:rsid w:val="005A1F54"/>
    <w:rsid w:val="005A3020"/>
    <w:rsid w:val="005B134E"/>
    <w:rsid w:val="005B15C0"/>
    <w:rsid w:val="005B2039"/>
    <w:rsid w:val="005B344F"/>
    <w:rsid w:val="005B3FBA"/>
    <w:rsid w:val="005B4A1D"/>
    <w:rsid w:val="005B4BDC"/>
    <w:rsid w:val="005B64FB"/>
    <w:rsid w:val="005B674D"/>
    <w:rsid w:val="005C00B4"/>
    <w:rsid w:val="005C056D"/>
    <w:rsid w:val="005C0CBE"/>
    <w:rsid w:val="005C1068"/>
    <w:rsid w:val="005C1FCF"/>
    <w:rsid w:val="005C3F41"/>
    <w:rsid w:val="005C4EC2"/>
    <w:rsid w:val="005C7455"/>
    <w:rsid w:val="005D0CBD"/>
    <w:rsid w:val="005D1885"/>
    <w:rsid w:val="005D2837"/>
    <w:rsid w:val="005D4A38"/>
    <w:rsid w:val="005D53F4"/>
    <w:rsid w:val="005D6BB5"/>
    <w:rsid w:val="005E1EAF"/>
    <w:rsid w:val="005E2496"/>
    <w:rsid w:val="005E2EEA"/>
    <w:rsid w:val="005E3708"/>
    <w:rsid w:val="005E3CCD"/>
    <w:rsid w:val="005E3D6B"/>
    <w:rsid w:val="005E56BA"/>
    <w:rsid w:val="005E5B55"/>
    <w:rsid w:val="005E5BDE"/>
    <w:rsid w:val="005E5D6F"/>
    <w:rsid w:val="005E5E4A"/>
    <w:rsid w:val="005E693D"/>
    <w:rsid w:val="005E70A9"/>
    <w:rsid w:val="005E75BF"/>
    <w:rsid w:val="005F2570"/>
    <w:rsid w:val="005F56C1"/>
    <w:rsid w:val="005F57BA"/>
    <w:rsid w:val="005F61E6"/>
    <w:rsid w:val="005F6C45"/>
    <w:rsid w:val="00605A69"/>
    <w:rsid w:val="00605E04"/>
    <w:rsid w:val="00606C54"/>
    <w:rsid w:val="00606D38"/>
    <w:rsid w:val="00606F43"/>
    <w:rsid w:val="00610894"/>
    <w:rsid w:val="00612386"/>
    <w:rsid w:val="00614375"/>
    <w:rsid w:val="00614512"/>
    <w:rsid w:val="00615B0A"/>
    <w:rsid w:val="00616291"/>
    <w:rsid w:val="006168CF"/>
    <w:rsid w:val="0062011B"/>
    <w:rsid w:val="00621CBA"/>
    <w:rsid w:val="00626DE0"/>
    <w:rsid w:val="00630901"/>
    <w:rsid w:val="00631F8E"/>
    <w:rsid w:val="00632ECF"/>
    <w:rsid w:val="00636EE9"/>
    <w:rsid w:val="00640950"/>
    <w:rsid w:val="00641884"/>
    <w:rsid w:val="00641AE7"/>
    <w:rsid w:val="00642629"/>
    <w:rsid w:val="006448DA"/>
    <w:rsid w:val="0064782B"/>
    <w:rsid w:val="0065293D"/>
    <w:rsid w:val="00652FE2"/>
    <w:rsid w:val="00653EFC"/>
    <w:rsid w:val="00654021"/>
    <w:rsid w:val="00655416"/>
    <w:rsid w:val="006578FE"/>
    <w:rsid w:val="00657BF7"/>
    <w:rsid w:val="00661045"/>
    <w:rsid w:val="00661860"/>
    <w:rsid w:val="00661892"/>
    <w:rsid w:val="00666229"/>
    <w:rsid w:val="00666DA8"/>
    <w:rsid w:val="0066768C"/>
    <w:rsid w:val="00671057"/>
    <w:rsid w:val="006750C2"/>
    <w:rsid w:val="00675AAF"/>
    <w:rsid w:val="00675AF4"/>
    <w:rsid w:val="0068031A"/>
    <w:rsid w:val="00680969"/>
    <w:rsid w:val="00681B2F"/>
    <w:rsid w:val="0068335F"/>
    <w:rsid w:val="00685C1B"/>
    <w:rsid w:val="00686E93"/>
    <w:rsid w:val="00687217"/>
    <w:rsid w:val="00693302"/>
    <w:rsid w:val="0069640B"/>
    <w:rsid w:val="00696DCF"/>
    <w:rsid w:val="006A1B83"/>
    <w:rsid w:val="006A21CD"/>
    <w:rsid w:val="006A3800"/>
    <w:rsid w:val="006A5886"/>
    <w:rsid w:val="006A5918"/>
    <w:rsid w:val="006A5B32"/>
    <w:rsid w:val="006B0C8B"/>
    <w:rsid w:val="006B21B2"/>
    <w:rsid w:val="006B33B2"/>
    <w:rsid w:val="006B4A4A"/>
    <w:rsid w:val="006B589C"/>
    <w:rsid w:val="006B5A53"/>
    <w:rsid w:val="006B7DA8"/>
    <w:rsid w:val="006C104B"/>
    <w:rsid w:val="006C10F2"/>
    <w:rsid w:val="006C19B2"/>
    <w:rsid w:val="006C4409"/>
    <w:rsid w:val="006C5BB8"/>
    <w:rsid w:val="006C6936"/>
    <w:rsid w:val="006C6E25"/>
    <w:rsid w:val="006C7B01"/>
    <w:rsid w:val="006D0DCA"/>
    <w:rsid w:val="006D0FE8"/>
    <w:rsid w:val="006D4B2B"/>
    <w:rsid w:val="006D4F3C"/>
    <w:rsid w:val="006D5C66"/>
    <w:rsid w:val="006D7002"/>
    <w:rsid w:val="006E0C79"/>
    <w:rsid w:val="006E185D"/>
    <w:rsid w:val="006E1B3C"/>
    <w:rsid w:val="006E23FB"/>
    <w:rsid w:val="006E27E6"/>
    <w:rsid w:val="006E325A"/>
    <w:rsid w:val="006E3369"/>
    <w:rsid w:val="006E33EC"/>
    <w:rsid w:val="006E3802"/>
    <w:rsid w:val="006E5BE5"/>
    <w:rsid w:val="006E6C02"/>
    <w:rsid w:val="006F231A"/>
    <w:rsid w:val="006F407A"/>
    <w:rsid w:val="006F4FF4"/>
    <w:rsid w:val="006F5361"/>
    <w:rsid w:val="006F6B55"/>
    <w:rsid w:val="006F788D"/>
    <w:rsid w:val="006F78E1"/>
    <w:rsid w:val="00700528"/>
    <w:rsid w:val="00701072"/>
    <w:rsid w:val="007017EC"/>
    <w:rsid w:val="007018C9"/>
    <w:rsid w:val="00702054"/>
    <w:rsid w:val="00702765"/>
    <w:rsid w:val="007035A4"/>
    <w:rsid w:val="00706D53"/>
    <w:rsid w:val="007076F8"/>
    <w:rsid w:val="00707751"/>
    <w:rsid w:val="00711799"/>
    <w:rsid w:val="00712B78"/>
    <w:rsid w:val="0071393B"/>
    <w:rsid w:val="00713EE2"/>
    <w:rsid w:val="0071438A"/>
    <w:rsid w:val="00714F7C"/>
    <w:rsid w:val="00717535"/>
    <w:rsid w:val="007177FC"/>
    <w:rsid w:val="00720C5E"/>
    <w:rsid w:val="00721701"/>
    <w:rsid w:val="00723AE9"/>
    <w:rsid w:val="007250FC"/>
    <w:rsid w:val="00726925"/>
    <w:rsid w:val="00731835"/>
    <w:rsid w:val="00733816"/>
    <w:rsid w:val="007341F8"/>
    <w:rsid w:val="00734372"/>
    <w:rsid w:val="00734EB8"/>
    <w:rsid w:val="00735F8B"/>
    <w:rsid w:val="0074090B"/>
    <w:rsid w:val="00741419"/>
    <w:rsid w:val="00741A00"/>
    <w:rsid w:val="00741BD3"/>
    <w:rsid w:val="00742D1F"/>
    <w:rsid w:val="00743EBA"/>
    <w:rsid w:val="00744C8E"/>
    <w:rsid w:val="0074707E"/>
    <w:rsid w:val="007516DC"/>
    <w:rsid w:val="0075202A"/>
    <w:rsid w:val="00752E58"/>
    <w:rsid w:val="00754B80"/>
    <w:rsid w:val="00760887"/>
    <w:rsid w:val="00761918"/>
    <w:rsid w:val="007625A6"/>
    <w:rsid w:val="00762F03"/>
    <w:rsid w:val="0076413B"/>
    <w:rsid w:val="007648AE"/>
    <w:rsid w:val="00764BF8"/>
    <w:rsid w:val="0076514D"/>
    <w:rsid w:val="00771AAD"/>
    <w:rsid w:val="00773D59"/>
    <w:rsid w:val="00774CBC"/>
    <w:rsid w:val="0077564A"/>
    <w:rsid w:val="00781003"/>
    <w:rsid w:val="00785F16"/>
    <w:rsid w:val="007865B5"/>
    <w:rsid w:val="00790537"/>
    <w:rsid w:val="007911FD"/>
    <w:rsid w:val="00793930"/>
    <w:rsid w:val="00793DD1"/>
    <w:rsid w:val="00794FEC"/>
    <w:rsid w:val="00797479"/>
    <w:rsid w:val="007A003E"/>
    <w:rsid w:val="007A0E22"/>
    <w:rsid w:val="007A1965"/>
    <w:rsid w:val="007A2ED1"/>
    <w:rsid w:val="007A44FA"/>
    <w:rsid w:val="007A4BE6"/>
    <w:rsid w:val="007A5620"/>
    <w:rsid w:val="007B0DC6"/>
    <w:rsid w:val="007B1094"/>
    <w:rsid w:val="007B1762"/>
    <w:rsid w:val="007B3320"/>
    <w:rsid w:val="007B5899"/>
    <w:rsid w:val="007B5CC8"/>
    <w:rsid w:val="007B7504"/>
    <w:rsid w:val="007C06B9"/>
    <w:rsid w:val="007C11C5"/>
    <w:rsid w:val="007C12A0"/>
    <w:rsid w:val="007C1464"/>
    <w:rsid w:val="007C27E2"/>
    <w:rsid w:val="007C301F"/>
    <w:rsid w:val="007C4540"/>
    <w:rsid w:val="007C5A62"/>
    <w:rsid w:val="007C6538"/>
    <w:rsid w:val="007C65AF"/>
    <w:rsid w:val="007C79BA"/>
    <w:rsid w:val="007D135D"/>
    <w:rsid w:val="007D68CE"/>
    <w:rsid w:val="007D730F"/>
    <w:rsid w:val="007D73C4"/>
    <w:rsid w:val="007D7CD8"/>
    <w:rsid w:val="007D7E79"/>
    <w:rsid w:val="007E0B4E"/>
    <w:rsid w:val="007E353D"/>
    <w:rsid w:val="007E3AA7"/>
    <w:rsid w:val="007E3DA0"/>
    <w:rsid w:val="007E5BA2"/>
    <w:rsid w:val="007F1045"/>
    <w:rsid w:val="007F1E51"/>
    <w:rsid w:val="007F3033"/>
    <w:rsid w:val="007F5AFF"/>
    <w:rsid w:val="007F737D"/>
    <w:rsid w:val="0080097E"/>
    <w:rsid w:val="00801C40"/>
    <w:rsid w:val="00801CE2"/>
    <w:rsid w:val="0080308E"/>
    <w:rsid w:val="008034C3"/>
    <w:rsid w:val="00803F7E"/>
    <w:rsid w:val="00805303"/>
    <w:rsid w:val="00806705"/>
    <w:rsid w:val="00806738"/>
    <w:rsid w:val="00807EDF"/>
    <w:rsid w:val="00812769"/>
    <w:rsid w:val="00813AE7"/>
    <w:rsid w:val="00816BB2"/>
    <w:rsid w:val="00817376"/>
    <w:rsid w:val="008216D5"/>
    <w:rsid w:val="00822757"/>
    <w:rsid w:val="00823D06"/>
    <w:rsid w:val="008249CE"/>
    <w:rsid w:val="00824F09"/>
    <w:rsid w:val="00825F10"/>
    <w:rsid w:val="00830DFB"/>
    <w:rsid w:val="00831882"/>
    <w:rsid w:val="00831A50"/>
    <w:rsid w:val="00831B3C"/>
    <w:rsid w:val="00831C89"/>
    <w:rsid w:val="00832114"/>
    <w:rsid w:val="00834575"/>
    <w:rsid w:val="00834C46"/>
    <w:rsid w:val="0084093E"/>
    <w:rsid w:val="00841CE1"/>
    <w:rsid w:val="00842A6F"/>
    <w:rsid w:val="008473D8"/>
    <w:rsid w:val="0085050F"/>
    <w:rsid w:val="00851B8B"/>
    <w:rsid w:val="008528DC"/>
    <w:rsid w:val="00852B8C"/>
    <w:rsid w:val="008541AF"/>
    <w:rsid w:val="00854981"/>
    <w:rsid w:val="00855A49"/>
    <w:rsid w:val="00856A86"/>
    <w:rsid w:val="00864B2E"/>
    <w:rsid w:val="00865963"/>
    <w:rsid w:val="00867707"/>
    <w:rsid w:val="00871C1D"/>
    <w:rsid w:val="0087450E"/>
    <w:rsid w:val="00875A82"/>
    <w:rsid w:val="00876CA3"/>
    <w:rsid w:val="008772FE"/>
    <w:rsid w:val="008775F1"/>
    <w:rsid w:val="00880C69"/>
    <w:rsid w:val="008818E3"/>
    <w:rsid w:val="008821AE"/>
    <w:rsid w:val="0088311F"/>
    <w:rsid w:val="00883D3A"/>
    <w:rsid w:val="00884D47"/>
    <w:rsid w:val="00884D4D"/>
    <w:rsid w:val="008854F7"/>
    <w:rsid w:val="00885A9D"/>
    <w:rsid w:val="008867C9"/>
    <w:rsid w:val="008874CF"/>
    <w:rsid w:val="008929D2"/>
    <w:rsid w:val="00892A8A"/>
    <w:rsid w:val="00893636"/>
    <w:rsid w:val="00893B94"/>
    <w:rsid w:val="00895403"/>
    <w:rsid w:val="00896E9D"/>
    <w:rsid w:val="00896F11"/>
    <w:rsid w:val="00897ECF"/>
    <w:rsid w:val="008A1049"/>
    <w:rsid w:val="008A1C98"/>
    <w:rsid w:val="008A322D"/>
    <w:rsid w:val="008A4D72"/>
    <w:rsid w:val="008A6285"/>
    <w:rsid w:val="008A63B2"/>
    <w:rsid w:val="008B345D"/>
    <w:rsid w:val="008C1FC2"/>
    <w:rsid w:val="008C2980"/>
    <w:rsid w:val="008C2A60"/>
    <w:rsid w:val="008C4DD6"/>
    <w:rsid w:val="008C5AFB"/>
    <w:rsid w:val="008C61BE"/>
    <w:rsid w:val="008D07FB"/>
    <w:rsid w:val="008D0C02"/>
    <w:rsid w:val="008D357D"/>
    <w:rsid w:val="008D435A"/>
    <w:rsid w:val="008E0590"/>
    <w:rsid w:val="008E0F74"/>
    <w:rsid w:val="008E387B"/>
    <w:rsid w:val="008E6087"/>
    <w:rsid w:val="008E6141"/>
    <w:rsid w:val="008E758D"/>
    <w:rsid w:val="008F10A7"/>
    <w:rsid w:val="008F4326"/>
    <w:rsid w:val="008F755D"/>
    <w:rsid w:val="008F7877"/>
    <w:rsid w:val="008F7A39"/>
    <w:rsid w:val="009021E8"/>
    <w:rsid w:val="00904677"/>
    <w:rsid w:val="00905964"/>
    <w:rsid w:val="00905EE2"/>
    <w:rsid w:val="009073B5"/>
    <w:rsid w:val="00911440"/>
    <w:rsid w:val="00911712"/>
    <w:rsid w:val="00911B27"/>
    <w:rsid w:val="009124F1"/>
    <w:rsid w:val="009170BE"/>
    <w:rsid w:val="009170E5"/>
    <w:rsid w:val="00920408"/>
    <w:rsid w:val="00920B55"/>
    <w:rsid w:val="009262C9"/>
    <w:rsid w:val="00930EB9"/>
    <w:rsid w:val="00933DC7"/>
    <w:rsid w:val="009360D9"/>
    <w:rsid w:val="009418F4"/>
    <w:rsid w:val="00942BBC"/>
    <w:rsid w:val="009438CD"/>
    <w:rsid w:val="00944180"/>
    <w:rsid w:val="009447E2"/>
    <w:rsid w:val="00944AA0"/>
    <w:rsid w:val="00945DC8"/>
    <w:rsid w:val="00947DA2"/>
    <w:rsid w:val="00951177"/>
    <w:rsid w:val="009512D0"/>
    <w:rsid w:val="00955548"/>
    <w:rsid w:val="00956115"/>
    <w:rsid w:val="009641BC"/>
    <w:rsid w:val="009673E8"/>
    <w:rsid w:val="0097364B"/>
    <w:rsid w:val="00973C41"/>
    <w:rsid w:val="00973D3F"/>
    <w:rsid w:val="00974DB8"/>
    <w:rsid w:val="00974E69"/>
    <w:rsid w:val="009757FA"/>
    <w:rsid w:val="00976E40"/>
    <w:rsid w:val="00980661"/>
    <w:rsid w:val="0098093B"/>
    <w:rsid w:val="00981D06"/>
    <w:rsid w:val="00982294"/>
    <w:rsid w:val="009828D3"/>
    <w:rsid w:val="00986D74"/>
    <w:rsid w:val="009876D4"/>
    <w:rsid w:val="00990687"/>
    <w:rsid w:val="009914A5"/>
    <w:rsid w:val="009917C2"/>
    <w:rsid w:val="009936E7"/>
    <w:rsid w:val="0099548E"/>
    <w:rsid w:val="00996456"/>
    <w:rsid w:val="00996A12"/>
    <w:rsid w:val="00997B0F"/>
    <w:rsid w:val="009A0CC3"/>
    <w:rsid w:val="009A1CAD"/>
    <w:rsid w:val="009A27CA"/>
    <w:rsid w:val="009A32EF"/>
    <w:rsid w:val="009A3440"/>
    <w:rsid w:val="009A3610"/>
    <w:rsid w:val="009A385E"/>
    <w:rsid w:val="009A3D30"/>
    <w:rsid w:val="009A507B"/>
    <w:rsid w:val="009A5832"/>
    <w:rsid w:val="009A6838"/>
    <w:rsid w:val="009A7167"/>
    <w:rsid w:val="009B0751"/>
    <w:rsid w:val="009B24B5"/>
    <w:rsid w:val="009B4735"/>
    <w:rsid w:val="009B4EBC"/>
    <w:rsid w:val="009B5ABB"/>
    <w:rsid w:val="009B5CDF"/>
    <w:rsid w:val="009B73CE"/>
    <w:rsid w:val="009C2461"/>
    <w:rsid w:val="009C460F"/>
    <w:rsid w:val="009C5A15"/>
    <w:rsid w:val="009C627B"/>
    <w:rsid w:val="009C6E08"/>
    <w:rsid w:val="009C6FE2"/>
    <w:rsid w:val="009C7674"/>
    <w:rsid w:val="009D004A"/>
    <w:rsid w:val="009D2A6B"/>
    <w:rsid w:val="009D3A22"/>
    <w:rsid w:val="009D4A68"/>
    <w:rsid w:val="009D5880"/>
    <w:rsid w:val="009D731E"/>
    <w:rsid w:val="009D7E74"/>
    <w:rsid w:val="009E1FD4"/>
    <w:rsid w:val="009E3B07"/>
    <w:rsid w:val="009E4E0D"/>
    <w:rsid w:val="009E51D1"/>
    <w:rsid w:val="009E5531"/>
    <w:rsid w:val="009F171E"/>
    <w:rsid w:val="009F3D2F"/>
    <w:rsid w:val="009F6858"/>
    <w:rsid w:val="009F7052"/>
    <w:rsid w:val="00A02668"/>
    <w:rsid w:val="00A02801"/>
    <w:rsid w:val="00A06A25"/>
    <w:rsid w:val="00A06A39"/>
    <w:rsid w:val="00A07F58"/>
    <w:rsid w:val="00A131CB"/>
    <w:rsid w:val="00A14847"/>
    <w:rsid w:val="00A16D6D"/>
    <w:rsid w:val="00A16E58"/>
    <w:rsid w:val="00A21383"/>
    <w:rsid w:val="00A2199F"/>
    <w:rsid w:val="00A21B31"/>
    <w:rsid w:val="00A229EA"/>
    <w:rsid w:val="00A2360E"/>
    <w:rsid w:val="00A25B81"/>
    <w:rsid w:val="00A2630A"/>
    <w:rsid w:val="00A26E0C"/>
    <w:rsid w:val="00A31C6E"/>
    <w:rsid w:val="00A32B29"/>
    <w:rsid w:val="00A32FCB"/>
    <w:rsid w:val="00A3348F"/>
    <w:rsid w:val="00A3404A"/>
    <w:rsid w:val="00A341E8"/>
    <w:rsid w:val="00A34C25"/>
    <w:rsid w:val="00A3507D"/>
    <w:rsid w:val="00A3717A"/>
    <w:rsid w:val="00A40401"/>
    <w:rsid w:val="00A4088C"/>
    <w:rsid w:val="00A418BF"/>
    <w:rsid w:val="00A4456B"/>
    <w:rsid w:val="00A448D4"/>
    <w:rsid w:val="00A452E0"/>
    <w:rsid w:val="00A506DF"/>
    <w:rsid w:val="00A514B3"/>
    <w:rsid w:val="00A51EA5"/>
    <w:rsid w:val="00A53742"/>
    <w:rsid w:val="00A5439B"/>
    <w:rsid w:val="00A557A1"/>
    <w:rsid w:val="00A63059"/>
    <w:rsid w:val="00A63AE3"/>
    <w:rsid w:val="00A651A4"/>
    <w:rsid w:val="00A65235"/>
    <w:rsid w:val="00A66F95"/>
    <w:rsid w:val="00A67A52"/>
    <w:rsid w:val="00A71361"/>
    <w:rsid w:val="00A746E2"/>
    <w:rsid w:val="00A748A8"/>
    <w:rsid w:val="00A77309"/>
    <w:rsid w:val="00A80299"/>
    <w:rsid w:val="00A81BD3"/>
    <w:rsid w:val="00A81FF2"/>
    <w:rsid w:val="00A82CC3"/>
    <w:rsid w:val="00A8364A"/>
    <w:rsid w:val="00A83904"/>
    <w:rsid w:val="00A86595"/>
    <w:rsid w:val="00A90A79"/>
    <w:rsid w:val="00A92F32"/>
    <w:rsid w:val="00A9403C"/>
    <w:rsid w:val="00A94A92"/>
    <w:rsid w:val="00A96322"/>
    <w:rsid w:val="00A96B30"/>
    <w:rsid w:val="00AA442D"/>
    <w:rsid w:val="00AA4F28"/>
    <w:rsid w:val="00AA59B5"/>
    <w:rsid w:val="00AA65E2"/>
    <w:rsid w:val="00AA7777"/>
    <w:rsid w:val="00AA7B84"/>
    <w:rsid w:val="00AA7CF0"/>
    <w:rsid w:val="00AB5468"/>
    <w:rsid w:val="00AC0B4C"/>
    <w:rsid w:val="00AC1164"/>
    <w:rsid w:val="00AC2296"/>
    <w:rsid w:val="00AC2754"/>
    <w:rsid w:val="00AC2FB3"/>
    <w:rsid w:val="00AC48B0"/>
    <w:rsid w:val="00AC4ACD"/>
    <w:rsid w:val="00AC5DFB"/>
    <w:rsid w:val="00AC6347"/>
    <w:rsid w:val="00AD13DC"/>
    <w:rsid w:val="00AD61B8"/>
    <w:rsid w:val="00AD65A8"/>
    <w:rsid w:val="00AD6DE2"/>
    <w:rsid w:val="00AD790B"/>
    <w:rsid w:val="00AE0A40"/>
    <w:rsid w:val="00AE1ED4"/>
    <w:rsid w:val="00AE21E1"/>
    <w:rsid w:val="00AE2F8D"/>
    <w:rsid w:val="00AE3BAE"/>
    <w:rsid w:val="00AE6A21"/>
    <w:rsid w:val="00AE6BE4"/>
    <w:rsid w:val="00AE7369"/>
    <w:rsid w:val="00AF1C8F"/>
    <w:rsid w:val="00AF2280"/>
    <w:rsid w:val="00AF2B68"/>
    <w:rsid w:val="00AF2C92"/>
    <w:rsid w:val="00AF3A0A"/>
    <w:rsid w:val="00AF3EC1"/>
    <w:rsid w:val="00AF5025"/>
    <w:rsid w:val="00AF519F"/>
    <w:rsid w:val="00AF5387"/>
    <w:rsid w:val="00AF55F5"/>
    <w:rsid w:val="00AF7086"/>
    <w:rsid w:val="00AF7E86"/>
    <w:rsid w:val="00B024B9"/>
    <w:rsid w:val="00B02660"/>
    <w:rsid w:val="00B077FA"/>
    <w:rsid w:val="00B127D7"/>
    <w:rsid w:val="00B1388F"/>
    <w:rsid w:val="00B13B0C"/>
    <w:rsid w:val="00B14408"/>
    <w:rsid w:val="00B1453A"/>
    <w:rsid w:val="00B209E9"/>
    <w:rsid w:val="00B20F82"/>
    <w:rsid w:val="00B2354F"/>
    <w:rsid w:val="00B23C07"/>
    <w:rsid w:val="00B23F91"/>
    <w:rsid w:val="00B25BD5"/>
    <w:rsid w:val="00B34079"/>
    <w:rsid w:val="00B3793A"/>
    <w:rsid w:val="00B401BA"/>
    <w:rsid w:val="00B407E4"/>
    <w:rsid w:val="00B41714"/>
    <w:rsid w:val="00B425B6"/>
    <w:rsid w:val="00B42A72"/>
    <w:rsid w:val="00B441AE"/>
    <w:rsid w:val="00B45A65"/>
    <w:rsid w:val="00B45F33"/>
    <w:rsid w:val="00B46CDC"/>
    <w:rsid w:val="00B46D50"/>
    <w:rsid w:val="00B5104D"/>
    <w:rsid w:val="00B512ED"/>
    <w:rsid w:val="00B53170"/>
    <w:rsid w:val="00B548B9"/>
    <w:rsid w:val="00B5561F"/>
    <w:rsid w:val="00B55829"/>
    <w:rsid w:val="00B55C41"/>
    <w:rsid w:val="00B56DBE"/>
    <w:rsid w:val="00B60136"/>
    <w:rsid w:val="00B61661"/>
    <w:rsid w:val="00B62999"/>
    <w:rsid w:val="00B63BE3"/>
    <w:rsid w:val="00B64885"/>
    <w:rsid w:val="00B64FA3"/>
    <w:rsid w:val="00B66810"/>
    <w:rsid w:val="00B72BE3"/>
    <w:rsid w:val="00B73B80"/>
    <w:rsid w:val="00B74F64"/>
    <w:rsid w:val="00B7599B"/>
    <w:rsid w:val="00B770C7"/>
    <w:rsid w:val="00B8054E"/>
    <w:rsid w:val="00B80F26"/>
    <w:rsid w:val="00B822BD"/>
    <w:rsid w:val="00B83FCF"/>
    <w:rsid w:val="00B842F4"/>
    <w:rsid w:val="00B85488"/>
    <w:rsid w:val="00B87291"/>
    <w:rsid w:val="00B91A7B"/>
    <w:rsid w:val="00B929DD"/>
    <w:rsid w:val="00B93AF6"/>
    <w:rsid w:val="00B947F3"/>
    <w:rsid w:val="00B95227"/>
    <w:rsid w:val="00B95405"/>
    <w:rsid w:val="00B963F1"/>
    <w:rsid w:val="00BA020A"/>
    <w:rsid w:val="00BB025A"/>
    <w:rsid w:val="00BB02A4"/>
    <w:rsid w:val="00BB1270"/>
    <w:rsid w:val="00BB17EF"/>
    <w:rsid w:val="00BB1E44"/>
    <w:rsid w:val="00BB2A98"/>
    <w:rsid w:val="00BB5267"/>
    <w:rsid w:val="00BB52B8"/>
    <w:rsid w:val="00BB59D8"/>
    <w:rsid w:val="00BB7E69"/>
    <w:rsid w:val="00BC0E51"/>
    <w:rsid w:val="00BC20F1"/>
    <w:rsid w:val="00BC2E2D"/>
    <w:rsid w:val="00BC2EA0"/>
    <w:rsid w:val="00BC3C1F"/>
    <w:rsid w:val="00BC4856"/>
    <w:rsid w:val="00BC7CE7"/>
    <w:rsid w:val="00BD295E"/>
    <w:rsid w:val="00BD4664"/>
    <w:rsid w:val="00BE1193"/>
    <w:rsid w:val="00BE11BF"/>
    <w:rsid w:val="00BF07B5"/>
    <w:rsid w:val="00BF0AE0"/>
    <w:rsid w:val="00BF4774"/>
    <w:rsid w:val="00BF4849"/>
    <w:rsid w:val="00BF4EA7"/>
    <w:rsid w:val="00BF6525"/>
    <w:rsid w:val="00BF78B0"/>
    <w:rsid w:val="00C00EDB"/>
    <w:rsid w:val="00C02863"/>
    <w:rsid w:val="00C0383A"/>
    <w:rsid w:val="00C067FF"/>
    <w:rsid w:val="00C06C89"/>
    <w:rsid w:val="00C11A54"/>
    <w:rsid w:val="00C12862"/>
    <w:rsid w:val="00C128C6"/>
    <w:rsid w:val="00C13D28"/>
    <w:rsid w:val="00C14585"/>
    <w:rsid w:val="00C165A0"/>
    <w:rsid w:val="00C166DC"/>
    <w:rsid w:val="00C20FC7"/>
    <w:rsid w:val="00C216CE"/>
    <w:rsid w:val="00C2184F"/>
    <w:rsid w:val="00C22A78"/>
    <w:rsid w:val="00C23B7C"/>
    <w:rsid w:val="00C23C7E"/>
    <w:rsid w:val="00C246C5"/>
    <w:rsid w:val="00C25A82"/>
    <w:rsid w:val="00C25F96"/>
    <w:rsid w:val="00C26F07"/>
    <w:rsid w:val="00C27997"/>
    <w:rsid w:val="00C30A2A"/>
    <w:rsid w:val="00C31DCC"/>
    <w:rsid w:val="00C33915"/>
    <w:rsid w:val="00C33993"/>
    <w:rsid w:val="00C34FED"/>
    <w:rsid w:val="00C35628"/>
    <w:rsid w:val="00C3720D"/>
    <w:rsid w:val="00C4069E"/>
    <w:rsid w:val="00C41ADC"/>
    <w:rsid w:val="00C44149"/>
    <w:rsid w:val="00C44410"/>
    <w:rsid w:val="00C44A15"/>
    <w:rsid w:val="00C4630A"/>
    <w:rsid w:val="00C470AC"/>
    <w:rsid w:val="00C47D46"/>
    <w:rsid w:val="00C51D37"/>
    <w:rsid w:val="00C523EE"/>
    <w:rsid w:val="00C523F0"/>
    <w:rsid w:val="00C526D2"/>
    <w:rsid w:val="00C53A91"/>
    <w:rsid w:val="00C543A3"/>
    <w:rsid w:val="00C5794E"/>
    <w:rsid w:val="00C60565"/>
    <w:rsid w:val="00C60968"/>
    <w:rsid w:val="00C629E9"/>
    <w:rsid w:val="00C63D39"/>
    <w:rsid w:val="00C63EDD"/>
    <w:rsid w:val="00C64439"/>
    <w:rsid w:val="00C65B36"/>
    <w:rsid w:val="00C66890"/>
    <w:rsid w:val="00C70706"/>
    <w:rsid w:val="00C7292E"/>
    <w:rsid w:val="00C74E88"/>
    <w:rsid w:val="00C80924"/>
    <w:rsid w:val="00C8286B"/>
    <w:rsid w:val="00C84DB3"/>
    <w:rsid w:val="00C851D8"/>
    <w:rsid w:val="00C8550A"/>
    <w:rsid w:val="00C92584"/>
    <w:rsid w:val="00C94000"/>
    <w:rsid w:val="00C94721"/>
    <w:rsid w:val="00C947F8"/>
    <w:rsid w:val="00C9515F"/>
    <w:rsid w:val="00C959CE"/>
    <w:rsid w:val="00C9606B"/>
    <w:rsid w:val="00C963C5"/>
    <w:rsid w:val="00CA030C"/>
    <w:rsid w:val="00CA1F41"/>
    <w:rsid w:val="00CA32EE"/>
    <w:rsid w:val="00CA51E3"/>
    <w:rsid w:val="00CA5771"/>
    <w:rsid w:val="00CA6A1A"/>
    <w:rsid w:val="00CB1DF2"/>
    <w:rsid w:val="00CB3220"/>
    <w:rsid w:val="00CB4066"/>
    <w:rsid w:val="00CC01E5"/>
    <w:rsid w:val="00CC1C47"/>
    <w:rsid w:val="00CC1E75"/>
    <w:rsid w:val="00CC2E0E"/>
    <w:rsid w:val="00CC361C"/>
    <w:rsid w:val="00CC474B"/>
    <w:rsid w:val="00CC658C"/>
    <w:rsid w:val="00CC67BF"/>
    <w:rsid w:val="00CD0843"/>
    <w:rsid w:val="00CD098F"/>
    <w:rsid w:val="00CD4E31"/>
    <w:rsid w:val="00CD5A78"/>
    <w:rsid w:val="00CD7345"/>
    <w:rsid w:val="00CE148E"/>
    <w:rsid w:val="00CE372E"/>
    <w:rsid w:val="00CE3954"/>
    <w:rsid w:val="00CE5707"/>
    <w:rsid w:val="00CF0A1B"/>
    <w:rsid w:val="00CF19F6"/>
    <w:rsid w:val="00CF2A7A"/>
    <w:rsid w:val="00CF2F4F"/>
    <w:rsid w:val="00CF415A"/>
    <w:rsid w:val="00CF536D"/>
    <w:rsid w:val="00CF5D11"/>
    <w:rsid w:val="00D02E9D"/>
    <w:rsid w:val="00D064E4"/>
    <w:rsid w:val="00D10254"/>
    <w:rsid w:val="00D10CB8"/>
    <w:rsid w:val="00D12806"/>
    <w:rsid w:val="00D12D44"/>
    <w:rsid w:val="00D14472"/>
    <w:rsid w:val="00D144B1"/>
    <w:rsid w:val="00D14E0E"/>
    <w:rsid w:val="00D15018"/>
    <w:rsid w:val="00D158AC"/>
    <w:rsid w:val="00D1694C"/>
    <w:rsid w:val="00D172C5"/>
    <w:rsid w:val="00D20F5E"/>
    <w:rsid w:val="00D21C65"/>
    <w:rsid w:val="00D23B76"/>
    <w:rsid w:val="00D24B4A"/>
    <w:rsid w:val="00D25074"/>
    <w:rsid w:val="00D26C2B"/>
    <w:rsid w:val="00D313F9"/>
    <w:rsid w:val="00D33D1C"/>
    <w:rsid w:val="00D35335"/>
    <w:rsid w:val="00D379A3"/>
    <w:rsid w:val="00D45FF3"/>
    <w:rsid w:val="00D512CF"/>
    <w:rsid w:val="00D528B9"/>
    <w:rsid w:val="00D53186"/>
    <w:rsid w:val="00D5487D"/>
    <w:rsid w:val="00D60140"/>
    <w:rsid w:val="00D6024A"/>
    <w:rsid w:val="00D608B5"/>
    <w:rsid w:val="00D64739"/>
    <w:rsid w:val="00D71F99"/>
    <w:rsid w:val="00D73415"/>
    <w:rsid w:val="00D73CA4"/>
    <w:rsid w:val="00D73D71"/>
    <w:rsid w:val="00D74396"/>
    <w:rsid w:val="00D75194"/>
    <w:rsid w:val="00D76677"/>
    <w:rsid w:val="00D80284"/>
    <w:rsid w:val="00D81F71"/>
    <w:rsid w:val="00D8642D"/>
    <w:rsid w:val="00D90A5E"/>
    <w:rsid w:val="00D91A68"/>
    <w:rsid w:val="00D95A68"/>
    <w:rsid w:val="00D95C36"/>
    <w:rsid w:val="00DA17C7"/>
    <w:rsid w:val="00DA6A9A"/>
    <w:rsid w:val="00DB08CF"/>
    <w:rsid w:val="00DB119A"/>
    <w:rsid w:val="00DB1EFD"/>
    <w:rsid w:val="00DB323B"/>
    <w:rsid w:val="00DB3EAF"/>
    <w:rsid w:val="00DB4435"/>
    <w:rsid w:val="00DB46C6"/>
    <w:rsid w:val="00DC278F"/>
    <w:rsid w:val="00DC3203"/>
    <w:rsid w:val="00DC3C99"/>
    <w:rsid w:val="00DC3FE5"/>
    <w:rsid w:val="00DC47C7"/>
    <w:rsid w:val="00DC52F5"/>
    <w:rsid w:val="00DC5FD0"/>
    <w:rsid w:val="00DD0354"/>
    <w:rsid w:val="00DD0A0B"/>
    <w:rsid w:val="00DD27D7"/>
    <w:rsid w:val="00DD33B2"/>
    <w:rsid w:val="00DD458C"/>
    <w:rsid w:val="00DD72E9"/>
    <w:rsid w:val="00DD7605"/>
    <w:rsid w:val="00DE2020"/>
    <w:rsid w:val="00DE3476"/>
    <w:rsid w:val="00DE6BDB"/>
    <w:rsid w:val="00DE7BEA"/>
    <w:rsid w:val="00DF0AB2"/>
    <w:rsid w:val="00DF1478"/>
    <w:rsid w:val="00DF1ED6"/>
    <w:rsid w:val="00DF50CA"/>
    <w:rsid w:val="00DF5B84"/>
    <w:rsid w:val="00DF5CFF"/>
    <w:rsid w:val="00DF6D5B"/>
    <w:rsid w:val="00DF771B"/>
    <w:rsid w:val="00DF7EE2"/>
    <w:rsid w:val="00E0194A"/>
    <w:rsid w:val="00E01BAA"/>
    <w:rsid w:val="00E0282A"/>
    <w:rsid w:val="00E02F9B"/>
    <w:rsid w:val="00E03A1D"/>
    <w:rsid w:val="00E07385"/>
    <w:rsid w:val="00E07E14"/>
    <w:rsid w:val="00E14F94"/>
    <w:rsid w:val="00E17336"/>
    <w:rsid w:val="00E17D15"/>
    <w:rsid w:val="00E2254A"/>
    <w:rsid w:val="00E22B95"/>
    <w:rsid w:val="00E23BD5"/>
    <w:rsid w:val="00E24606"/>
    <w:rsid w:val="00E30331"/>
    <w:rsid w:val="00E30BB8"/>
    <w:rsid w:val="00E31533"/>
    <w:rsid w:val="00E31F9C"/>
    <w:rsid w:val="00E356F7"/>
    <w:rsid w:val="00E36381"/>
    <w:rsid w:val="00E40488"/>
    <w:rsid w:val="00E419F9"/>
    <w:rsid w:val="00E461A6"/>
    <w:rsid w:val="00E50367"/>
    <w:rsid w:val="00E51ABA"/>
    <w:rsid w:val="00E524CB"/>
    <w:rsid w:val="00E52614"/>
    <w:rsid w:val="00E52980"/>
    <w:rsid w:val="00E535FE"/>
    <w:rsid w:val="00E55F38"/>
    <w:rsid w:val="00E577DC"/>
    <w:rsid w:val="00E64EC5"/>
    <w:rsid w:val="00E65456"/>
    <w:rsid w:val="00E65A91"/>
    <w:rsid w:val="00E66188"/>
    <w:rsid w:val="00E66438"/>
    <w:rsid w:val="00E664FB"/>
    <w:rsid w:val="00E672F0"/>
    <w:rsid w:val="00E70373"/>
    <w:rsid w:val="00E70689"/>
    <w:rsid w:val="00E72171"/>
    <w:rsid w:val="00E72E40"/>
    <w:rsid w:val="00E73665"/>
    <w:rsid w:val="00E73999"/>
    <w:rsid w:val="00E73BDC"/>
    <w:rsid w:val="00E73CCD"/>
    <w:rsid w:val="00E73E9E"/>
    <w:rsid w:val="00E74DC0"/>
    <w:rsid w:val="00E77F75"/>
    <w:rsid w:val="00E81660"/>
    <w:rsid w:val="00E81E32"/>
    <w:rsid w:val="00E82F12"/>
    <w:rsid w:val="00E854FE"/>
    <w:rsid w:val="00E8666E"/>
    <w:rsid w:val="00E8709E"/>
    <w:rsid w:val="00E8716D"/>
    <w:rsid w:val="00E906CC"/>
    <w:rsid w:val="00E92A9D"/>
    <w:rsid w:val="00E939A0"/>
    <w:rsid w:val="00E945B7"/>
    <w:rsid w:val="00E97E4E"/>
    <w:rsid w:val="00EA1245"/>
    <w:rsid w:val="00EA1CC2"/>
    <w:rsid w:val="00EA2D76"/>
    <w:rsid w:val="00EA4644"/>
    <w:rsid w:val="00EA758A"/>
    <w:rsid w:val="00EB096F"/>
    <w:rsid w:val="00EB12F9"/>
    <w:rsid w:val="00EB199F"/>
    <w:rsid w:val="00EB21A4"/>
    <w:rsid w:val="00EB27C4"/>
    <w:rsid w:val="00EB38AD"/>
    <w:rsid w:val="00EB4BBE"/>
    <w:rsid w:val="00EB4D43"/>
    <w:rsid w:val="00EB5387"/>
    <w:rsid w:val="00EB5C10"/>
    <w:rsid w:val="00EB7322"/>
    <w:rsid w:val="00EB75C9"/>
    <w:rsid w:val="00EB7F9F"/>
    <w:rsid w:val="00EC0FE9"/>
    <w:rsid w:val="00EC198B"/>
    <w:rsid w:val="00EC3892"/>
    <w:rsid w:val="00EC426D"/>
    <w:rsid w:val="00EC571B"/>
    <w:rsid w:val="00EC57D7"/>
    <w:rsid w:val="00EC6385"/>
    <w:rsid w:val="00ED1DE9"/>
    <w:rsid w:val="00ED23D4"/>
    <w:rsid w:val="00ED439B"/>
    <w:rsid w:val="00ED5E0B"/>
    <w:rsid w:val="00EE37B6"/>
    <w:rsid w:val="00EE5736"/>
    <w:rsid w:val="00EF03BA"/>
    <w:rsid w:val="00EF0F45"/>
    <w:rsid w:val="00EF32E0"/>
    <w:rsid w:val="00EF49D4"/>
    <w:rsid w:val="00EF7463"/>
    <w:rsid w:val="00EF7971"/>
    <w:rsid w:val="00F002EF"/>
    <w:rsid w:val="00F01EE9"/>
    <w:rsid w:val="00F04900"/>
    <w:rsid w:val="00F059F3"/>
    <w:rsid w:val="00F05C5B"/>
    <w:rsid w:val="00F065A4"/>
    <w:rsid w:val="00F102E4"/>
    <w:rsid w:val="00F1215A"/>
    <w:rsid w:val="00F126B9"/>
    <w:rsid w:val="00F12715"/>
    <w:rsid w:val="00F144D5"/>
    <w:rsid w:val="00F146F0"/>
    <w:rsid w:val="00F15039"/>
    <w:rsid w:val="00F20A20"/>
    <w:rsid w:val="00F20FF3"/>
    <w:rsid w:val="00F2190B"/>
    <w:rsid w:val="00F228B5"/>
    <w:rsid w:val="00F2389C"/>
    <w:rsid w:val="00F251BE"/>
    <w:rsid w:val="00F25C67"/>
    <w:rsid w:val="00F27872"/>
    <w:rsid w:val="00F27CF1"/>
    <w:rsid w:val="00F30DFF"/>
    <w:rsid w:val="00F312F4"/>
    <w:rsid w:val="00F32B80"/>
    <w:rsid w:val="00F340EB"/>
    <w:rsid w:val="00F35285"/>
    <w:rsid w:val="00F37292"/>
    <w:rsid w:val="00F43B9D"/>
    <w:rsid w:val="00F447D6"/>
    <w:rsid w:val="00F44D5E"/>
    <w:rsid w:val="00F4680F"/>
    <w:rsid w:val="00F50B6B"/>
    <w:rsid w:val="00F515E4"/>
    <w:rsid w:val="00F51CAC"/>
    <w:rsid w:val="00F53906"/>
    <w:rsid w:val="00F53A35"/>
    <w:rsid w:val="00F53C17"/>
    <w:rsid w:val="00F55A3D"/>
    <w:rsid w:val="00F5744B"/>
    <w:rsid w:val="00F60C42"/>
    <w:rsid w:val="00F61209"/>
    <w:rsid w:val="00F6259E"/>
    <w:rsid w:val="00F65DD4"/>
    <w:rsid w:val="00F6607F"/>
    <w:rsid w:val="00F66BD1"/>
    <w:rsid w:val="00F672B2"/>
    <w:rsid w:val="00F77F56"/>
    <w:rsid w:val="00F83973"/>
    <w:rsid w:val="00F87974"/>
    <w:rsid w:val="00F87FA3"/>
    <w:rsid w:val="00F92DD2"/>
    <w:rsid w:val="00F93D8C"/>
    <w:rsid w:val="00F9664E"/>
    <w:rsid w:val="00FA05F5"/>
    <w:rsid w:val="00FA1D27"/>
    <w:rsid w:val="00FA2014"/>
    <w:rsid w:val="00FA3102"/>
    <w:rsid w:val="00FA48D4"/>
    <w:rsid w:val="00FA54FA"/>
    <w:rsid w:val="00FA6D39"/>
    <w:rsid w:val="00FB0DC6"/>
    <w:rsid w:val="00FB227E"/>
    <w:rsid w:val="00FB3D61"/>
    <w:rsid w:val="00FB44CE"/>
    <w:rsid w:val="00FB4D88"/>
    <w:rsid w:val="00FB5009"/>
    <w:rsid w:val="00FB605D"/>
    <w:rsid w:val="00FB76AB"/>
    <w:rsid w:val="00FC1BC8"/>
    <w:rsid w:val="00FC7D41"/>
    <w:rsid w:val="00FD03FE"/>
    <w:rsid w:val="00FD126E"/>
    <w:rsid w:val="00FD3C36"/>
    <w:rsid w:val="00FD4D81"/>
    <w:rsid w:val="00FD53B8"/>
    <w:rsid w:val="00FD5BB7"/>
    <w:rsid w:val="00FD73F1"/>
    <w:rsid w:val="00FD7498"/>
    <w:rsid w:val="00FD7FB3"/>
    <w:rsid w:val="00FE0F7C"/>
    <w:rsid w:val="00FE4713"/>
    <w:rsid w:val="00FF089C"/>
    <w:rsid w:val="00FF1F44"/>
    <w:rsid w:val="00FF225E"/>
    <w:rsid w:val="00FF5778"/>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B134"/>
  <w14:defaultImageDpi w14:val="330"/>
  <w15:docId w15:val="{37638CFF-DCE9-4277-8F9B-2175317D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2B6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155">
      <w:bodyDiv w:val="1"/>
      <w:marLeft w:val="0"/>
      <w:marRight w:val="0"/>
      <w:marTop w:val="0"/>
      <w:marBottom w:val="0"/>
      <w:divBdr>
        <w:top w:val="none" w:sz="0" w:space="0" w:color="auto"/>
        <w:left w:val="none" w:sz="0" w:space="0" w:color="auto"/>
        <w:bottom w:val="none" w:sz="0" w:space="0" w:color="auto"/>
        <w:right w:val="none" w:sz="0" w:space="0" w:color="auto"/>
      </w:divBdr>
    </w:div>
    <w:div w:id="98374044">
      <w:bodyDiv w:val="1"/>
      <w:marLeft w:val="0"/>
      <w:marRight w:val="0"/>
      <w:marTop w:val="0"/>
      <w:marBottom w:val="0"/>
      <w:divBdr>
        <w:top w:val="none" w:sz="0" w:space="0" w:color="auto"/>
        <w:left w:val="none" w:sz="0" w:space="0" w:color="auto"/>
        <w:bottom w:val="none" w:sz="0" w:space="0" w:color="auto"/>
        <w:right w:val="none" w:sz="0" w:space="0" w:color="auto"/>
      </w:divBdr>
    </w:div>
    <w:div w:id="122117304">
      <w:bodyDiv w:val="1"/>
      <w:marLeft w:val="0"/>
      <w:marRight w:val="0"/>
      <w:marTop w:val="0"/>
      <w:marBottom w:val="0"/>
      <w:divBdr>
        <w:top w:val="none" w:sz="0" w:space="0" w:color="auto"/>
        <w:left w:val="none" w:sz="0" w:space="0" w:color="auto"/>
        <w:bottom w:val="none" w:sz="0" w:space="0" w:color="auto"/>
        <w:right w:val="none" w:sz="0" w:space="0" w:color="auto"/>
      </w:divBdr>
    </w:div>
    <w:div w:id="152647059">
      <w:bodyDiv w:val="1"/>
      <w:marLeft w:val="0"/>
      <w:marRight w:val="0"/>
      <w:marTop w:val="0"/>
      <w:marBottom w:val="0"/>
      <w:divBdr>
        <w:top w:val="none" w:sz="0" w:space="0" w:color="auto"/>
        <w:left w:val="none" w:sz="0" w:space="0" w:color="auto"/>
        <w:bottom w:val="none" w:sz="0" w:space="0" w:color="auto"/>
        <w:right w:val="none" w:sz="0" w:space="0" w:color="auto"/>
      </w:divBdr>
    </w:div>
    <w:div w:id="243540596">
      <w:bodyDiv w:val="1"/>
      <w:marLeft w:val="0"/>
      <w:marRight w:val="0"/>
      <w:marTop w:val="0"/>
      <w:marBottom w:val="0"/>
      <w:divBdr>
        <w:top w:val="none" w:sz="0" w:space="0" w:color="auto"/>
        <w:left w:val="none" w:sz="0" w:space="0" w:color="auto"/>
        <w:bottom w:val="none" w:sz="0" w:space="0" w:color="auto"/>
        <w:right w:val="none" w:sz="0" w:space="0" w:color="auto"/>
      </w:divBdr>
    </w:div>
    <w:div w:id="296034583">
      <w:bodyDiv w:val="1"/>
      <w:marLeft w:val="0"/>
      <w:marRight w:val="0"/>
      <w:marTop w:val="0"/>
      <w:marBottom w:val="0"/>
      <w:divBdr>
        <w:top w:val="none" w:sz="0" w:space="0" w:color="auto"/>
        <w:left w:val="none" w:sz="0" w:space="0" w:color="auto"/>
        <w:bottom w:val="none" w:sz="0" w:space="0" w:color="auto"/>
        <w:right w:val="none" w:sz="0" w:space="0" w:color="auto"/>
      </w:divBdr>
    </w:div>
    <w:div w:id="329065009">
      <w:bodyDiv w:val="1"/>
      <w:marLeft w:val="0"/>
      <w:marRight w:val="0"/>
      <w:marTop w:val="0"/>
      <w:marBottom w:val="0"/>
      <w:divBdr>
        <w:top w:val="none" w:sz="0" w:space="0" w:color="auto"/>
        <w:left w:val="none" w:sz="0" w:space="0" w:color="auto"/>
        <w:bottom w:val="none" w:sz="0" w:space="0" w:color="auto"/>
        <w:right w:val="none" w:sz="0" w:space="0" w:color="auto"/>
      </w:divBdr>
    </w:div>
    <w:div w:id="358163016">
      <w:bodyDiv w:val="1"/>
      <w:marLeft w:val="0"/>
      <w:marRight w:val="0"/>
      <w:marTop w:val="0"/>
      <w:marBottom w:val="0"/>
      <w:divBdr>
        <w:top w:val="none" w:sz="0" w:space="0" w:color="auto"/>
        <w:left w:val="none" w:sz="0" w:space="0" w:color="auto"/>
        <w:bottom w:val="none" w:sz="0" w:space="0" w:color="auto"/>
        <w:right w:val="none" w:sz="0" w:space="0" w:color="auto"/>
      </w:divBdr>
    </w:div>
    <w:div w:id="393358088">
      <w:bodyDiv w:val="1"/>
      <w:marLeft w:val="0"/>
      <w:marRight w:val="0"/>
      <w:marTop w:val="0"/>
      <w:marBottom w:val="0"/>
      <w:divBdr>
        <w:top w:val="none" w:sz="0" w:space="0" w:color="auto"/>
        <w:left w:val="none" w:sz="0" w:space="0" w:color="auto"/>
        <w:bottom w:val="none" w:sz="0" w:space="0" w:color="auto"/>
        <w:right w:val="none" w:sz="0" w:space="0" w:color="auto"/>
      </w:divBdr>
    </w:div>
    <w:div w:id="510295518">
      <w:bodyDiv w:val="1"/>
      <w:marLeft w:val="0"/>
      <w:marRight w:val="0"/>
      <w:marTop w:val="0"/>
      <w:marBottom w:val="0"/>
      <w:divBdr>
        <w:top w:val="none" w:sz="0" w:space="0" w:color="auto"/>
        <w:left w:val="none" w:sz="0" w:space="0" w:color="auto"/>
        <w:bottom w:val="none" w:sz="0" w:space="0" w:color="auto"/>
        <w:right w:val="none" w:sz="0" w:space="0" w:color="auto"/>
      </w:divBdr>
    </w:div>
    <w:div w:id="510610065">
      <w:bodyDiv w:val="1"/>
      <w:marLeft w:val="0"/>
      <w:marRight w:val="0"/>
      <w:marTop w:val="0"/>
      <w:marBottom w:val="0"/>
      <w:divBdr>
        <w:top w:val="none" w:sz="0" w:space="0" w:color="auto"/>
        <w:left w:val="none" w:sz="0" w:space="0" w:color="auto"/>
        <w:bottom w:val="none" w:sz="0" w:space="0" w:color="auto"/>
        <w:right w:val="none" w:sz="0" w:space="0" w:color="auto"/>
      </w:divBdr>
    </w:div>
    <w:div w:id="554659648">
      <w:bodyDiv w:val="1"/>
      <w:marLeft w:val="0"/>
      <w:marRight w:val="0"/>
      <w:marTop w:val="0"/>
      <w:marBottom w:val="0"/>
      <w:divBdr>
        <w:top w:val="none" w:sz="0" w:space="0" w:color="auto"/>
        <w:left w:val="none" w:sz="0" w:space="0" w:color="auto"/>
        <w:bottom w:val="none" w:sz="0" w:space="0" w:color="auto"/>
        <w:right w:val="none" w:sz="0" w:space="0" w:color="auto"/>
      </w:divBdr>
    </w:div>
    <w:div w:id="600456065">
      <w:bodyDiv w:val="1"/>
      <w:marLeft w:val="0"/>
      <w:marRight w:val="0"/>
      <w:marTop w:val="0"/>
      <w:marBottom w:val="0"/>
      <w:divBdr>
        <w:top w:val="none" w:sz="0" w:space="0" w:color="auto"/>
        <w:left w:val="none" w:sz="0" w:space="0" w:color="auto"/>
        <w:bottom w:val="none" w:sz="0" w:space="0" w:color="auto"/>
        <w:right w:val="none" w:sz="0" w:space="0" w:color="auto"/>
      </w:divBdr>
    </w:div>
    <w:div w:id="651299689">
      <w:bodyDiv w:val="1"/>
      <w:marLeft w:val="0"/>
      <w:marRight w:val="0"/>
      <w:marTop w:val="0"/>
      <w:marBottom w:val="0"/>
      <w:divBdr>
        <w:top w:val="none" w:sz="0" w:space="0" w:color="auto"/>
        <w:left w:val="none" w:sz="0" w:space="0" w:color="auto"/>
        <w:bottom w:val="none" w:sz="0" w:space="0" w:color="auto"/>
        <w:right w:val="none" w:sz="0" w:space="0" w:color="auto"/>
      </w:divBdr>
    </w:div>
    <w:div w:id="655305574">
      <w:bodyDiv w:val="1"/>
      <w:marLeft w:val="0"/>
      <w:marRight w:val="0"/>
      <w:marTop w:val="0"/>
      <w:marBottom w:val="0"/>
      <w:divBdr>
        <w:top w:val="none" w:sz="0" w:space="0" w:color="auto"/>
        <w:left w:val="none" w:sz="0" w:space="0" w:color="auto"/>
        <w:bottom w:val="none" w:sz="0" w:space="0" w:color="auto"/>
        <w:right w:val="none" w:sz="0" w:space="0" w:color="auto"/>
      </w:divBdr>
    </w:div>
    <w:div w:id="703214362">
      <w:bodyDiv w:val="1"/>
      <w:marLeft w:val="0"/>
      <w:marRight w:val="0"/>
      <w:marTop w:val="0"/>
      <w:marBottom w:val="0"/>
      <w:divBdr>
        <w:top w:val="none" w:sz="0" w:space="0" w:color="auto"/>
        <w:left w:val="none" w:sz="0" w:space="0" w:color="auto"/>
        <w:bottom w:val="none" w:sz="0" w:space="0" w:color="auto"/>
        <w:right w:val="none" w:sz="0" w:space="0" w:color="auto"/>
      </w:divBdr>
    </w:div>
    <w:div w:id="708457244">
      <w:bodyDiv w:val="1"/>
      <w:marLeft w:val="0"/>
      <w:marRight w:val="0"/>
      <w:marTop w:val="0"/>
      <w:marBottom w:val="0"/>
      <w:divBdr>
        <w:top w:val="none" w:sz="0" w:space="0" w:color="auto"/>
        <w:left w:val="none" w:sz="0" w:space="0" w:color="auto"/>
        <w:bottom w:val="none" w:sz="0" w:space="0" w:color="auto"/>
        <w:right w:val="none" w:sz="0" w:space="0" w:color="auto"/>
      </w:divBdr>
    </w:div>
    <w:div w:id="752705869">
      <w:bodyDiv w:val="1"/>
      <w:marLeft w:val="0"/>
      <w:marRight w:val="0"/>
      <w:marTop w:val="0"/>
      <w:marBottom w:val="0"/>
      <w:divBdr>
        <w:top w:val="none" w:sz="0" w:space="0" w:color="auto"/>
        <w:left w:val="none" w:sz="0" w:space="0" w:color="auto"/>
        <w:bottom w:val="none" w:sz="0" w:space="0" w:color="auto"/>
        <w:right w:val="none" w:sz="0" w:space="0" w:color="auto"/>
      </w:divBdr>
    </w:div>
    <w:div w:id="766317620">
      <w:bodyDiv w:val="1"/>
      <w:marLeft w:val="0"/>
      <w:marRight w:val="0"/>
      <w:marTop w:val="0"/>
      <w:marBottom w:val="0"/>
      <w:divBdr>
        <w:top w:val="none" w:sz="0" w:space="0" w:color="auto"/>
        <w:left w:val="none" w:sz="0" w:space="0" w:color="auto"/>
        <w:bottom w:val="none" w:sz="0" w:space="0" w:color="auto"/>
        <w:right w:val="none" w:sz="0" w:space="0" w:color="auto"/>
      </w:divBdr>
    </w:div>
    <w:div w:id="859126429">
      <w:bodyDiv w:val="1"/>
      <w:marLeft w:val="0"/>
      <w:marRight w:val="0"/>
      <w:marTop w:val="0"/>
      <w:marBottom w:val="0"/>
      <w:divBdr>
        <w:top w:val="none" w:sz="0" w:space="0" w:color="auto"/>
        <w:left w:val="none" w:sz="0" w:space="0" w:color="auto"/>
        <w:bottom w:val="none" w:sz="0" w:space="0" w:color="auto"/>
        <w:right w:val="none" w:sz="0" w:space="0" w:color="auto"/>
      </w:divBdr>
    </w:div>
    <w:div w:id="896017049">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9029400">
      <w:bodyDiv w:val="1"/>
      <w:marLeft w:val="0"/>
      <w:marRight w:val="0"/>
      <w:marTop w:val="0"/>
      <w:marBottom w:val="0"/>
      <w:divBdr>
        <w:top w:val="none" w:sz="0" w:space="0" w:color="auto"/>
        <w:left w:val="none" w:sz="0" w:space="0" w:color="auto"/>
        <w:bottom w:val="none" w:sz="0" w:space="0" w:color="auto"/>
        <w:right w:val="none" w:sz="0" w:space="0" w:color="auto"/>
      </w:divBdr>
    </w:div>
    <w:div w:id="951935648">
      <w:bodyDiv w:val="1"/>
      <w:marLeft w:val="0"/>
      <w:marRight w:val="0"/>
      <w:marTop w:val="0"/>
      <w:marBottom w:val="0"/>
      <w:divBdr>
        <w:top w:val="none" w:sz="0" w:space="0" w:color="auto"/>
        <w:left w:val="none" w:sz="0" w:space="0" w:color="auto"/>
        <w:bottom w:val="none" w:sz="0" w:space="0" w:color="auto"/>
        <w:right w:val="none" w:sz="0" w:space="0" w:color="auto"/>
      </w:divBdr>
    </w:div>
    <w:div w:id="969752320">
      <w:bodyDiv w:val="1"/>
      <w:marLeft w:val="0"/>
      <w:marRight w:val="0"/>
      <w:marTop w:val="0"/>
      <w:marBottom w:val="0"/>
      <w:divBdr>
        <w:top w:val="none" w:sz="0" w:space="0" w:color="auto"/>
        <w:left w:val="none" w:sz="0" w:space="0" w:color="auto"/>
        <w:bottom w:val="none" w:sz="0" w:space="0" w:color="auto"/>
        <w:right w:val="none" w:sz="0" w:space="0" w:color="auto"/>
      </w:divBdr>
    </w:div>
    <w:div w:id="1003245575">
      <w:bodyDiv w:val="1"/>
      <w:marLeft w:val="0"/>
      <w:marRight w:val="0"/>
      <w:marTop w:val="0"/>
      <w:marBottom w:val="0"/>
      <w:divBdr>
        <w:top w:val="none" w:sz="0" w:space="0" w:color="auto"/>
        <w:left w:val="none" w:sz="0" w:space="0" w:color="auto"/>
        <w:bottom w:val="none" w:sz="0" w:space="0" w:color="auto"/>
        <w:right w:val="none" w:sz="0" w:space="0" w:color="auto"/>
      </w:divBdr>
    </w:div>
    <w:div w:id="1054624643">
      <w:bodyDiv w:val="1"/>
      <w:marLeft w:val="0"/>
      <w:marRight w:val="0"/>
      <w:marTop w:val="0"/>
      <w:marBottom w:val="0"/>
      <w:divBdr>
        <w:top w:val="none" w:sz="0" w:space="0" w:color="auto"/>
        <w:left w:val="none" w:sz="0" w:space="0" w:color="auto"/>
        <w:bottom w:val="none" w:sz="0" w:space="0" w:color="auto"/>
        <w:right w:val="none" w:sz="0" w:space="0" w:color="auto"/>
      </w:divBdr>
    </w:div>
    <w:div w:id="1070035636">
      <w:bodyDiv w:val="1"/>
      <w:marLeft w:val="0"/>
      <w:marRight w:val="0"/>
      <w:marTop w:val="0"/>
      <w:marBottom w:val="0"/>
      <w:divBdr>
        <w:top w:val="none" w:sz="0" w:space="0" w:color="auto"/>
        <w:left w:val="none" w:sz="0" w:space="0" w:color="auto"/>
        <w:bottom w:val="none" w:sz="0" w:space="0" w:color="auto"/>
        <w:right w:val="none" w:sz="0" w:space="0" w:color="auto"/>
      </w:divBdr>
    </w:div>
    <w:div w:id="1087580026">
      <w:bodyDiv w:val="1"/>
      <w:marLeft w:val="0"/>
      <w:marRight w:val="0"/>
      <w:marTop w:val="0"/>
      <w:marBottom w:val="0"/>
      <w:divBdr>
        <w:top w:val="none" w:sz="0" w:space="0" w:color="auto"/>
        <w:left w:val="none" w:sz="0" w:space="0" w:color="auto"/>
        <w:bottom w:val="none" w:sz="0" w:space="0" w:color="auto"/>
        <w:right w:val="none" w:sz="0" w:space="0" w:color="auto"/>
      </w:divBdr>
    </w:div>
    <w:div w:id="1165903605">
      <w:bodyDiv w:val="1"/>
      <w:marLeft w:val="0"/>
      <w:marRight w:val="0"/>
      <w:marTop w:val="0"/>
      <w:marBottom w:val="0"/>
      <w:divBdr>
        <w:top w:val="none" w:sz="0" w:space="0" w:color="auto"/>
        <w:left w:val="none" w:sz="0" w:space="0" w:color="auto"/>
        <w:bottom w:val="none" w:sz="0" w:space="0" w:color="auto"/>
        <w:right w:val="none" w:sz="0" w:space="0" w:color="auto"/>
      </w:divBdr>
    </w:div>
    <w:div w:id="1180121614">
      <w:bodyDiv w:val="1"/>
      <w:marLeft w:val="0"/>
      <w:marRight w:val="0"/>
      <w:marTop w:val="0"/>
      <w:marBottom w:val="0"/>
      <w:divBdr>
        <w:top w:val="none" w:sz="0" w:space="0" w:color="auto"/>
        <w:left w:val="none" w:sz="0" w:space="0" w:color="auto"/>
        <w:bottom w:val="none" w:sz="0" w:space="0" w:color="auto"/>
        <w:right w:val="none" w:sz="0" w:space="0" w:color="auto"/>
      </w:divBdr>
    </w:div>
    <w:div w:id="1206258035">
      <w:bodyDiv w:val="1"/>
      <w:marLeft w:val="0"/>
      <w:marRight w:val="0"/>
      <w:marTop w:val="0"/>
      <w:marBottom w:val="0"/>
      <w:divBdr>
        <w:top w:val="none" w:sz="0" w:space="0" w:color="auto"/>
        <w:left w:val="none" w:sz="0" w:space="0" w:color="auto"/>
        <w:bottom w:val="none" w:sz="0" w:space="0" w:color="auto"/>
        <w:right w:val="none" w:sz="0" w:space="0" w:color="auto"/>
      </w:divBdr>
    </w:div>
    <w:div w:id="1208487104">
      <w:bodyDiv w:val="1"/>
      <w:marLeft w:val="0"/>
      <w:marRight w:val="0"/>
      <w:marTop w:val="0"/>
      <w:marBottom w:val="0"/>
      <w:divBdr>
        <w:top w:val="none" w:sz="0" w:space="0" w:color="auto"/>
        <w:left w:val="none" w:sz="0" w:space="0" w:color="auto"/>
        <w:bottom w:val="none" w:sz="0" w:space="0" w:color="auto"/>
        <w:right w:val="none" w:sz="0" w:space="0" w:color="auto"/>
      </w:divBdr>
    </w:div>
    <w:div w:id="1264072624">
      <w:bodyDiv w:val="1"/>
      <w:marLeft w:val="0"/>
      <w:marRight w:val="0"/>
      <w:marTop w:val="0"/>
      <w:marBottom w:val="0"/>
      <w:divBdr>
        <w:top w:val="none" w:sz="0" w:space="0" w:color="auto"/>
        <w:left w:val="none" w:sz="0" w:space="0" w:color="auto"/>
        <w:bottom w:val="none" w:sz="0" w:space="0" w:color="auto"/>
        <w:right w:val="none" w:sz="0" w:space="0" w:color="auto"/>
      </w:divBdr>
    </w:div>
    <w:div w:id="1307861341">
      <w:bodyDiv w:val="1"/>
      <w:marLeft w:val="0"/>
      <w:marRight w:val="0"/>
      <w:marTop w:val="0"/>
      <w:marBottom w:val="0"/>
      <w:divBdr>
        <w:top w:val="none" w:sz="0" w:space="0" w:color="auto"/>
        <w:left w:val="none" w:sz="0" w:space="0" w:color="auto"/>
        <w:bottom w:val="none" w:sz="0" w:space="0" w:color="auto"/>
        <w:right w:val="none" w:sz="0" w:space="0" w:color="auto"/>
      </w:divBdr>
    </w:div>
    <w:div w:id="1323780288">
      <w:bodyDiv w:val="1"/>
      <w:marLeft w:val="0"/>
      <w:marRight w:val="0"/>
      <w:marTop w:val="0"/>
      <w:marBottom w:val="0"/>
      <w:divBdr>
        <w:top w:val="none" w:sz="0" w:space="0" w:color="auto"/>
        <w:left w:val="none" w:sz="0" w:space="0" w:color="auto"/>
        <w:bottom w:val="none" w:sz="0" w:space="0" w:color="auto"/>
        <w:right w:val="none" w:sz="0" w:space="0" w:color="auto"/>
      </w:divBdr>
    </w:div>
    <w:div w:id="1347056144">
      <w:bodyDiv w:val="1"/>
      <w:marLeft w:val="0"/>
      <w:marRight w:val="0"/>
      <w:marTop w:val="0"/>
      <w:marBottom w:val="0"/>
      <w:divBdr>
        <w:top w:val="none" w:sz="0" w:space="0" w:color="auto"/>
        <w:left w:val="none" w:sz="0" w:space="0" w:color="auto"/>
        <w:bottom w:val="none" w:sz="0" w:space="0" w:color="auto"/>
        <w:right w:val="none" w:sz="0" w:space="0" w:color="auto"/>
      </w:divBdr>
    </w:div>
    <w:div w:id="1347096043">
      <w:bodyDiv w:val="1"/>
      <w:marLeft w:val="0"/>
      <w:marRight w:val="0"/>
      <w:marTop w:val="0"/>
      <w:marBottom w:val="0"/>
      <w:divBdr>
        <w:top w:val="none" w:sz="0" w:space="0" w:color="auto"/>
        <w:left w:val="none" w:sz="0" w:space="0" w:color="auto"/>
        <w:bottom w:val="none" w:sz="0" w:space="0" w:color="auto"/>
        <w:right w:val="none" w:sz="0" w:space="0" w:color="auto"/>
      </w:divBdr>
    </w:div>
    <w:div w:id="1376930243">
      <w:bodyDiv w:val="1"/>
      <w:marLeft w:val="0"/>
      <w:marRight w:val="0"/>
      <w:marTop w:val="0"/>
      <w:marBottom w:val="0"/>
      <w:divBdr>
        <w:top w:val="none" w:sz="0" w:space="0" w:color="auto"/>
        <w:left w:val="none" w:sz="0" w:space="0" w:color="auto"/>
        <w:bottom w:val="none" w:sz="0" w:space="0" w:color="auto"/>
        <w:right w:val="none" w:sz="0" w:space="0" w:color="auto"/>
      </w:divBdr>
    </w:div>
    <w:div w:id="1387560289">
      <w:bodyDiv w:val="1"/>
      <w:marLeft w:val="0"/>
      <w:marRight w:val="0"/>
      <w:marTop w:val="0"/>
      <w:marBottom w:val="0"/>
      <w:divBdr>
        <w:top w:val="none" w:sz="0" w:space="0" w:color="auto"/>
        <w:left w:val="none" w:sz="0" w:space="0" w:color="auto"/>
        <w:bottom w:val="none" w:sz="0" w:space="0" w:color="auto"/>
        <w:right w:val="none" w:sz="0" w:space="0" w:color="auto"/>
      </w:divBdr>
    </w:div>
    <w:div w:id="1398505131">
      <w:bodyDiv w:val="1"/>
      <w:marLeft w:val="0"/>
      <w:marRight w:val="0"/>
      <w:marTop w:val="0"/>
      <w:marBottom w:val="0"/>
      <w:divBdr>
        <w:top w:val="none" w:sz="0" w:space="0" w:color="auto"/>
        <w:left w:val="none" w:sz="0" w:space="0" w:color="auto"/>
        <w:bottom w:val="none" w:sz="0" w:space="0" w:color="auto"/>
        <w:right w:val="none" w:sz="0" w:space="0" w:color="auto"/>
      </w:divBdr>
    </w:div>
    <w:div w:id="1427387590">
      <w:bodyDiv w:val="1"/>
      <w:marLeft w:val="0"/>
      <w:marRight w:val="0"/>
      <w:marTop w:val="0"/>
      <w:marBottom w:val="0"/>
      <w:divBdr>
        <w:top w:val="none" w:sz="0" w:space="0" w:color="auto"/>
        <w:left w:val="none" w:sz="0" w:space="0" w:color="auto"/>
        <w:bottom w:val="none" w:sz="0" w:space="0" w:color="auto"/>
        <w:right w:val="none" w:sz="0" w:space="0" w:color="auto"/>
      </w:divBdr>
    </w:div>
    <w:div w:id="1441802220">
      <w:bodyDiv w:val="1"/>
      <w:marLeft w:val="0"/>
      <w:marRight w:val="0"/>
      <w:marTop w:val="0"/>
      <w:marBottom w:val="0"/>
      <w:divBdr>
        <w:top w:val="none" w:sz="0" w:space="0" w:color="auto"/>
        <w:left w:val="none" w:sz="0" w:space="0" w:color="auto"/>
        <w:bottom w:val="none" w:sz="0" w:space="0" w:color="auto"/>
        <w:right w:val="none" w:sz="0" w:space="0" w:color="auto"/>
      </w:divBdr>
    </w:div>
    <w:div w:id="1504275418">
      <w:bodyDiv w:val="1"/>
      <w:marLeft w:val="0"/>
      <w:marRight w:val="0"/>
      <w:marTop w:val="0"/>
      <w:marBottom w:val="0"/>
      <w:divBdr>
        <w:top w:val="none" w:sz="0" w:space="0" w:color="auto"/>
        <w:left w:val="none" w:sz="0" w:space="0" w:color="auto"/>
        <w:bottom w:val="none" w:sz="0" w:space="0" w:color="auto"/>
        <w:right w:val="none" w:sz="0" w:space="0" w:color="auto"/>
      </w:divBdr>
    </w:div>
    <w:div w:id="1568878339">
      <w:bodyDiv w:val="1"/>
      <w:marLeft w:val="0"/>
      <w:marRight w:val="0"/>
      <w:marTop w:val="0"/>
      <w:marBottom w:val="0"/>
      <w:divBdr>
        <w:top w:val="none" w:sz="0" w:space="0" w:color="auto"/>
        <w:left w:val="none" w:sz="0" w:space="0" w:color="auto"/>
        <w:bottom w:val="none" w:sz="0" w:space="0" w:color="auto"/>
        <w:right w:val="none" w:sz="0" w:space="0" w:color="auto"/>
      </w:divBdr>
    </w:div>
    <w:div w:id="1583560850">
      <w:bodyDiv w:val="1"/>
      <w:marLeft w:val="0"/>
      <w:marRight w:val="0"/>
      <w:marTop w:val="0"/>
      <w:marBottom w:val="0"/>
      <w:divBdr>
        <w:top w:val="none" w:sz="0" w:space="0" w:color="auto"/>
        <w:left w:val="none" w:sz="0" w:space="0" w:color="auto"/>
        <w:bottom w:val="none" w:sz="0" w:space="0" w:color="auto"/>
        <w:right w:val="none" w:sz="0" w:space="0" w:color="auto"/>
      </w:divBdr>
    </w:div>
    <w:div w:id="1596089263">
      <w:bodyDiv w:val="1"/>
      <w:marLeft w:val="0"/>
      <w:marRight w:val="0"/>
      <w:marTop w:val="0"/>
      <w:marBottom w:val="0"/>
      <w:divBdr>
        <w:top w:val="none" w:sz="0" w:space="0" w:color="auto"/>
        <w:left w:val="none" w:sz="0" w:space="0" w:color="auto"/>
        <w:bottom w:val="none" w:sz="0" w:space="0" w:color="auto"/>
        <w:right w:val="none" w:sz="0" w:space="0" w:color="auto"/>
      </w:divBdr>
    </w:div>
    <w:div w:id="1620867499">
      <w:bodyDiv w:val="1"/>
      <w:marLeft w:val="0"/>
      <w:marRight w:val="0"/>
      <w:marTop w:val="0"/>
      <w:marBottom w:val="0"/>
      <w:divBdr>
        <w:top w:val="none" w:sz="0" w:space="0" w:color="auto"/>
        <w:left w:val="none" w:sz="0" w:space="0" w:color="auto"/>
        <w:bottom w:val="none" w:sz="0" w:space="0" w:color="auto"/>
        <w:right w:val="none" w:sz="0" w:space="0" w:color="auto"/>
      </w:divBdr>
    </w:div>
    <w:div w:id="1638337120">
      <w:bodyDiv w:val="1"/>
      <w:marLeft w:val="0"/>
      <w:marRight w:val="0"/>
      <w:marTop w:val="0"/>
      <w:marBottom w:val="0"/>
      <w:divBdr>
        <w:top w:val="none" w:sz="0" w:space="0" w:color="auto"/>
        <w:left w:val="none" w:sz="0" w:space="0" w:color="auto"/>
        <w:bottom w:val="none" w:sz="0" w:space="0" w:color="auto"/>
        <w:right w:val="none" w:sz="0" w:space="0" w:color="auto"/>
      </w:divBdr>
    </w:div>
    <w:div w:id="1670792347">
      <w:bodyDiv w:val="1"/>
      <w:marLeft w:val="0"/>
      <w:marRight w:val="0"/>
      <w:marTop w:val="0"/>
      <w:marBottom w:val="0"/>
      <w:divBdr>
        <w:top w:val="none" w:sz="0" w:space="0" w:color="auto"/>
        <w:left w:val="none" w:sz="0" w:space="0" w:color="auto"/>
        <w:bottom w:val="none" w:sz="0" w:space="0" w:color="auto"/>
        <w:right w:val="none" w:sz="0" w:space="0" w:color="auto"/>
      </w:divBdr>
    </w:div>
    <w:div w:id="1700935753">
      <w:bodyDiv w:val="1"/>
      <w:marLeft w:val="0"/>
      <w:marRight w:val="0"/>
      <w:marTop w:val="0"/>
      <w:marBottom w:val="0"/>
      <w:divBdr>
        <w:top w:val="none" w:sz="0" w:space="0" w:color="auto"/>
        <w:left w:val="none" w:sz="0" w:space="0" w:color="auto"/>
        <w:bottom w:val="none" w:sz="0" w:space="0" w:color="auto"/>
        <w:right w:val="none" w:sz="0" w:space="0" w:color="auto"/>
      </w:divBdr>
    </w:div>
    <w:div w:id="1701281369">
      <w:bodyDiv w:val="1"/>
      <w:marLeft w:val="0"/>
      <w:marRight w:val="0"/>
      <w:marTop w:val="0"/>
      <w:marBottom w:val="0"/>
      <w:divBdr>
        <w:top w:val="none" w:sz="0" w:space="0" w:color="auto"/>
        <w:left w:val="none" w:sz="0" w:space="0" w:color="auto"/>
        <w:bottom w:val="none" w:sz="0" w:space="0" w:color="auto"/>
        <w:right w:val="none" w:sz="0" w:space="0" w:color="auto"/>
      </w:divBdr>
    </w:div>
    <w:div w:id="1734691170">
      <w:bodyDiv w:val="1"/>
      <w:marLeft w:val="0"/>
      <w:marRight w:val="0"/>
      <w:marTop w:val="0"/>
      <w:marBottom w:val="0"/>
      <w:divBdr>
        <w:top w:val="none" w:sz="0" w:space="0" w:color="auto"/>
        <w:left w:val="none" w:sz="0" w:space="0" w:color="auto"/>
        <w:bottom w:val="none" w:sz="0" w:space="0" w:color="auto"/>
        <w:right w:val="none" w:sz="0" w:space="0" w:color="auto"/>
      </w:divBdr>
    </w:div>
    <w:div w:id="1749377786">
      <w:bodyDiv w:val="1"/>
      <w:marLeft w:val="0"/>
      <w:marRight w:val="0"/>
      <w:marTop w:val="0"/>
      <w:marBottom w:val="0"/>
      <w:divBdr>
        <w:top w:val="none" w:sz="0" w:space="0" w:color="auto"/>
        <w:left w:val="none" w:sz="0" w:space="0" w:color="auto"/>
        <w:bottom w:val="none" w:sz="0" w:space="0" w:color="auto"/>
        <w:right w:val="none" w:sz="0" w:space="0" w:color="auto"/>
      </w:divBdr>
    </w:div>
    <w:div w:id="1768692768">
      <w:bodyDiv w:val="1"/>
      <w:marLeft w:val="0"/>
      <w:marRight w:val="0"/>
      <w:marTop w:val="0"/>
      <w:marBottom w:val="0"/>
      <w:divBdr>
        <w:top w:val="none" w:sz="0" w:space="0" w:color="auto"/>
        <w:left w:val="none" w:sz="0" w:space="0" w:color="auto"/>
        <w:bottom w:val="none" w:sz="0" w:space="0" w:color="auto"/>
        <w:right w:val="none" w:sz="0" w:space="0" w:color="auto"/>
      </w:divBdr>
    </w:div>
    <w:div w:id="1773161014">
      <w:bodyDiv w:val="1"/>
      <w:marLeft w:val="0"/>
      <w:marRight w:val="0"/>
      <w:marTop w:val="0"/>
      <w:marBottom w:val="0"/>
      <w:divBdr>
        <w:top w:val="none" w:sz="0" w:space="0" w:color="auto"/>
        <w:left w:val="none" w:sz="0" w:space="0" w:color="auto"/>
        <w:bottom w:val="none" w:sz="0" w:space="0" w:color="auto"/>
        <w:right w:val="none" w:sz="0" w:space="0" w:color="auto"/>
      </w:divBdr>
    </w:div>
    <w:div w:id="1886217026">
      <w:bodyDiv w:val="1"/>
      <w:marLeft w:val="0"/>
      <w:marRight w:val="0"/>
      <w:marTop w:val="0"/>
      <w:marBottom w:val="0"/>
      <w:divBdr>
        <w:top w:val="none" w:sz="0" w:space="0" w:color="auto"/>
        <w:left w:val="none" w:sz="0" w:space="0" w:color="auto"/>
        <w:bottom w:val="none" w:sz="0" w:space="0" w:color="auto"/>
        <w:right w:val="none" w:sz="0" w:space="0" w:color="auto"/>
      </w:divBdr>
    </w:div>
    <w:div w:id="1927960511">
      <w:bodyDiv w:val="1"/>
      <w:marLeft w:val="0"/>
      <w:marRight w:val="0"/>
      <w:marTop w:val="0"/>
      <w:marBottom w:val="0"/>
      <w:divBdr>
        <w:top w:val="none" w:sz="0" w:space="0" w:color="auto"/>
        <w:left w:val="none" w:sz="0" w:space="0" w:color="auto"/>
        <w:bottom w:val="none" w:sz="0" w:space="0" w:color="auto"/>
        <w:right w:val="none" w:sz="0" w:space="0" w:color="auto"/>
      </w:divBdr>
    </w:div>
    <w:div w:id="1945333850">
      <w:bodyDiv w:val="1"/>
      <w:marLeft w:val="0"/>
      <w:marRight w:val="0"/>
      <w:marTop w:val="0"/>
      <w:marBottom w:val="0"/>
      <w:divBdr>
        <w:top w:val="none" w:sz="0" w:space="0" w:color="auto"/>
        <w:left w:val="none" w:sz="0" w:space="0" w:color="auto"/>
        <w:bottom w:val="none" w:sz="0" w:space="0" w:color="auto"/>
        <w:right w:val="none" w:sz="0" w:space="0" w:color="auto"/>
      </w:divBdr>
    </w:div>
    <w:div w:id="1968001737">
      <w:bodyDiv w:val="1"/>
      <w:marLeft w:val="0"/>
      <w:marRight w:val="0"/>
      <w:marTop w:val="0"/>
      <w:marBottom w:val="0"/>
      <w:divBdr>
        <w:top w:val="none" w:sz="0" w:space="0" w:color="auto"/>
        <w:left w:val="none" w:sz="0" w:space="0" w:color="auto"/>
        <w:bottom w:val="none" w:sz="0" w:space="0" w:color="auto"/>
        <w:right w:val="none" w:sz="0" w:space="0" w:color="auto"/>
      </w:divBdr>
    </w:div>
    <w:div w:id="1994404983">
      <w:bodyDiv w:val="1"/>
      <w:marLeft w:val="0"/>
      <w:marRight w:val="0"/>
      <w:marTop w:val="0"/>
      <w:marBottom w:val="0"/>
      <w:divBdr>
        <w:top w:val="none" w:sz="0" w:space="0" w:color="auto"/>
        <w:left w:val="none" w:sz="0" w:space="0" w:color="auto"/>
        <w:bottom w:val="none" w:sz="0" w:space="0" w:color="auto"/>
        <w:right w:val="none" w:sz="0" w:space="0" w:color="auto"/>
      </w:divBdr>
    </w:div>
    <w:div w:id="2002152209">
      <w:bodyDiv w:val="1"/>
      <w:marLeft w:val="0"/>
      <w:marRight w:val="0"/>
      <w:marTop w:val="0"/>
      <w:marBottom w:val="0"/>
      <w:divBdr>
        <w:top w:val="none" w:sz="0" w:space="0" w:color="auto"/>
        <w:left w:val="none" w:sz="0" w:space="0" w:color="auto"/>
        <w:bottom w:val="none" w:sz="0" w:space="0" w:color="auto"/>
        <w:right w:val="none" w:sz="0" w:space="0" w:color="auto"/>
      </w:divBdr>
    </w:div>
    <w:div w:id="2022779044">
      <w:bodyDiv w:val="1"/>
      <w:marLeft w:val="0"/>
      <w:marRight w:val="0"/>
      <w:marTop w:val="0"/>
      <w:marBottom w:val="0"/>
      <w:divBdr>
        <w:top w:val="none" w:sz="0" w:space="0" w:color="auto"/>
        <w:left w:val="none" w:sz="0" w:space="0" w:color="auto"/>
        <w:bottom w:val="none" w:sz="0" w:space="0" w:color="auto"/>
        <w:right w:val="none" w:sz="0" w:space="0" w:color="auto"/>
      </w:divBdr>
    </w:div>
    <w:div w:id="2027514614">
      <w:bodyDiv w:val="1"/>
      <w:marLeft w:val="0"/>
      <w:marRight w:val="0"/>
      <w:marTop w:val="0"/>
      <w:marBottom w:val="0"/>
      <w:divBdr>
        <w:top w:val="none" w:sz="0" w:space="0" w:color="auto"/>
        <w:left w:val="none" w:sz="0" w:space="0" w:color="auto"/>
        <w:bottom w:val="none" w:sz="0" w:space="0" w:color="auto"/>
        <w:right w:val="none" w:sz="0" w:space="0" w:color="auto"/>
      </w:divBdr>
    </w:div>
    <w:div w:id="2096433068">
      <w:bodyDiv w:val="1"/>
      <w:marLeft w:val="0"/>
      <w:marRight w:val="0"/>
      <w:marTop w:val="0"/>
      <w:marBottom w:val="0"/>
      <w:divBdr>
        <w:top w:val="none" w:sz="0" w:space="0" w:color="auto"/>
        <w:left w:val="none" w:sz="0" w:space="0" w:color="auto"/>
        <w:bottom w:val="none" w:sz="0" w:space="0" w:color="auto"/>
        <w:right w:val="none" w:sz="0" w:space="0" w:color="auto"/>
      </w:divBdr>
    </w:div>
    <w:div w:id="21237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OneDrive\Documentos\NCQ_Documentos\Estudios\Universidad\Maestr&#237;a\MSc%20Computaci&#243;n%20Cient&#237;fica\MSc_Thesis\Document\Article\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Ber05</b:Tag>
    <b:SourceType>JournalArticle</b:SourceType>
    <b:Guid>{DA79597B-BC8A-4EBB-B1B0-DB067E1E2A23}</b:Guid>
    <b:Title>Intraday REIT Liquidity</b:Title>
    <b:Year>2005</b:Year>
    <b:JournalName>Journal of Real Estate Research</b:JournalName>
    <b:Pages>155-176</b:Pages>
    <b:Author>
      <b:Author>
        <b:NameList>
          <b:Person>
            <b:Last>Bertin</b:Last>
            <b:First>William</b:First>
          </b:Person>
          <b:Person>
            <b:Last>Kofman</b:Last>
            <b:First>Paul</b:First>
          </b:Person>
          <b:Person>
            <b:Last>Michayluk</b:Last>
            <b:First>David</b:First>
          </b:Person>
          <b:Person>
            <b:Last>Prather</b:Last>
            <b:First>Laurie</b:First>
          </b:Person>
        </b:NameList>
      </b:Author>
    </b:Author>
    <b:Volume>27</b:Volume>
    <b:Issue>2</b:Issue>
    <b:DOI>10.1080/10835547.2005.12091153</b:DOI>
    <b:RefOrder>1</b:RefOrder>
  </b:Source>
  <b:Source>
    <b:Tag>Fab20</b:Tag>
    <b:SourceType>JournalArticle</b:SourceType>
    <b:Guid>{16472C4A-4014-4316-A296-2F0A99ED2432}</b:Guid>
    <b:Title>A 30-Year Perspective on Property Derivatives: What Can Be Done to Tame Property Price Risk?</b:Title>
    <b:Year>2020</b:Year>
    <b:JournalName>Journal of Economic Perspectives</b:JournalName>
    <b:Pages>121-145</b:Pages>
    <b:Author>
      <b:Author>
        <b:NameList>
          <b:Person>
            <b:Last>Fabozzi</b:Last>
            <b:Middle>J.</b:Middle>
            <b:First>Frank</b:First>
          </b:Person>
          <b:Person>
            <b:Last>Shiller</b:Last>
            <b:Middle>J.</b:Middle>
            <b:First>Robert</b:First>
          </b:Person>
          <b:Person>
            <b:Last>Tunaru</b:Last>
            <b:Middle>S.</b:Middle>
            <b:First>Radu</b:First>
          </b:Person>
        </b:NameList>
      </b:Author>
    </b:Author>
    <b:Volume>34</b:Volume>
    <b:Issue>4</b:Issue>
    <b:RefOrder>2</b:RefOrder>
  </b:Source>
  <b:Source>
    <b:Tag>Yoo06</b:Tag>
    <b:SourceType>Misc</b:SourceType>
    <b:Guid>{3E2CBCD0-F6F1-450B-8EF2-B931D08F21E3}</b:Guid>
    <b:Title>A Study on Real Estate Derivatives</b:Title>
    <b:Year>2006</b:Year>
    <b:Author>
      <b:Author>
        <b:NameList>
          <b:Person>
            <b:Last>Yoon Lim</b:Last>
            <b:First>Jong</b:First>
          </b:Person>
          <b:Person>
            <b:Last>Zhang</b:Last>
            <b:First>Yi</b:First>
          </b:Person>
        </b:NameList>
      </b:Author>
    </b:Author>
    <b:City>Boston</b:City>
    <b:StateProvince>Massachussets</b:StateProvince>
    <b:CountryRegion>United States of America</b:CountryRegion>
    <b:RefOrder>3</b:RefOrder>
  </b:Source>
  <b:Source>
    <b:Tag>Jor11</b:Tag>
    <b:SourceType>Book</b:SourceType>
    <b:Guid>{1B2E7104-2309-48A8-8920-25306C52E4FA}</b:Guid>
    <b:Title>Financial Risk Manager Handbook</b:Title>
    <b:Year>2011</b:Year>
    <b:City>Haboken</b:City>
    <b:StateProvince>New Jersey</b:StateProvince>
    <b:Publisher>John Wiley &amp; Sons, Inc</b:Publisher>
    <b:Author>
      <b:Author>
        <b:NameList>
          <b:Person>
            <b:Last>Jorion</b:Last>
            <b:First>Philippe</b:First>
          </b:Person>
        </b:NameList>
      </b:Author>
    </b:Author>
    <b:Volume>1</b:Volume>
    <b:NumberVolumes>1</b:NumberVolumes>
    <b:Edition>6th</b:Edition>
    <b:RefOrder>23</b:RefOrder>
  </b:Source>
  <b:Source>
    <b:Tag>Fab11</b:Tag>
    <b:SourceType>JournalArticle</b:SourceType>
    <b:Guid>{E79EFFDE-D6CB-4D59-BF36-18BA79E96A5B}</b:Guid>
    <b:Title>A Pricing Framework for Real Estate Derivatives</b:Title>
    <b:JournalName>European Financial Management</b:JournalName>
    <b:Year>2011</b:Year>
    <b:Pages>1-28</b:Pages>
    <b:Author>
      <b:Author>
        <b:NameList>
          <b:Person>
            <b:Last>Fabozzi</b:Last>
            <b:Middle>J.</b:Middle>
            <b:First>Frank</b:First>
          </b:Person>
          <b:Person>
            <b:Last>Shiller</b:Last>
            <b:Middle>J.</b:Middle>
            <b:First>Robert</b:First>
          </b:Person>
          <b:Person>
            <b:Last>Tunaru</b:Last>
            <b:Middle>S.</b:Middle>
            <b:First>Radu</b:First>
          </b:Person>
        </b:NameList>
      </b:Author>
    </b:Author>
    <b:Volume>00</b:Volume>
    <b:Issue>0</b:Issue>
    <b:RefOrder>12</b:RefOrder>
  </b:Source>
  <b:Source>
    <b:Tag>Tun17</b:Tag>
    <b:SourceType>Book</b:SourceType>
    <b:Guid>{8A96AD2B-623E-471A-A239-6421122C6514}</b:Guid>
    <b:Title>Real-Estate Derivatives: From Econometrics to Financial Engineering</b:Title>
    <b:Year>2017</b:Year>
    <b:City>Oxford</b:City>
    <b:Publisher>Oxford University Press</b:Publisher>
    <b:Author>
      <b:Author>
        <b:NameList>
          <b:Person>
            <b:Last>Tunaru</b:Last>
            <b:Middle>S.</b:Middle>
            <b:First>Radu</b:First>
          </b:Person>
        </b:NameList>
      </b:Author>
    </b:Author>
    <b:Volume>1</b:Volume>
    <b:Edition>1</b:Edition>
    <b:RefOrder>11</b:RefOrder>
  </b:Source>
  <b:Source>
    <b:Tag>Van15</b:Tag>
    <b:SourceType>JournalArticle</b:SourceType>
    <b:Guid>{318100EB-6BBB-429D-ACE8-1EE81ABF8059}</b:Guid>
    <b:Title>Risk-Neutral Valuation of Real Estate Derivatives</b:Title>
    <b:JournalName>The Journal of Derivatives</b:JournalName>
    <b:Year>2015</b:Year>
    <b:Pages>89-110</b:Pages>
    <b:Volume>23</b:Volume>
    <b:Issue>1</b:Issue>
    <b:DOI>https://doi.org/10.3905/jod.2015.23.1.089</b:DOI>
    <b:Author>
      <b:Author>
        <b:NameList>
          <b:Person>
            <b:Last>Van Bragt</b:Last>
            <b:First>David</b:First>
          </b:Person>
          <b:Person>
            <b:Last>Francke</b:Last>
            <b:Middle>K</b:Middle>
            <b:First>Marc</b:First>
          </b:Person>
          <b:Person>
            <b:Last>Singor</b:Last>
            <b:Middle>N</b:Middle>
            <b:First>Stefan</b:First>
          </b:Person>
          <b:Person>
            <b:Last>Pelsser</b:Last>
            <b:First>Antoon</b:First>
          </b:Person>
        </b:NameList>
      </b:Author>
    </b:Author>
    <b:RefOrder>17</b:RefOrder>
  </b:Source>
  <b:Source>
    <b:Tag>Mer73</b:Tag>
    <b:SourceType>JournalArticle</b:SourceType>
    <b:Guid>{CF349444-CFD1-4573-B175-2C6B9F3B896C}</b:Guid>
    <b:Title>Theory of Rational Option Pricing</b:Title>
    <b:JournalName>The Bell Journal of Economics and Management Science</b:JournalName>
    <b:Year>1973</b:Year>
    <b:Pages>141-183</b:Pages>
    <b:Author>
      <b:Author>
        <b:NameList>
          <b:Person>
            <b:Last>Merton</b:Last>
            <b:Middle>C.</b:Middle>
            <b:First>Robert</b:First>
          </b:Person>
        </b:NameList>
      </b:Author>
    </b:Author>
    <b:Volume>4</b:Volume>
    <b:Issue>1</b:Issue>
    <b:RefOrder>5</b:RefOrder>
  </b:Source>
  <b:Source>
    <b:Tag>Fis73</b:Tag>
    <b:SourceType>JournalArticle</b:SourceType>
    <b:Guid>{89E1C030-4659-4E26-B985-FF24C80C6412}</b:Guid>
    <b:Title>The Pricing of Options and Corporate Liabilities</b:Title>
    <b:JournalName>Journal of Political Economy</b:JournalName>
    <b:Year>1973</b:Year>
    <b:Pages>637-654</b:Pages>
    <b:Author>
      <b:Author>
        <b:NameList>
          <b:Person>
            <b:Last>Fischer</b:Last>
            <b:First>Black</b:First>
          </b:Person>
          <b:Person>
            <b:Last>Scholes</b:Last>
            <b:First>Myron</b:First>
          </b:Person>
        </b:NameList>
      </b:Author>
    </b:Author>
    <b:RefOrder>4</b:RefOrder>
  </b:Source>
  <b:Source>
    <b:Tag>Cas93</b:Tag>
    <b:SourceType>JournalArticle</b:SourceType>
    <b:Guid>{2B9FA196-7E19-4581-B17C-0AD701F326B4}</b:Guid>
    <b:Title>Index-Based Futures and Options Markets in Real Estate</b:Title>
    <b:JournalName>The Journal of Porfolio Management</b:JournalName>
    <b:Year>1993</b:Year>
    <b:Pages>83-92</b:Pages>
    <b:Volume>19</b:Volume>
    <b:Issue>2</b:Issue>
    <b:Author>
      <b:Author>
        <b:NameList>
          <b:Person>
            <b:Last>Case</b:Last>
            <b:Middle>E</b:Middle>
            <b:First>Karl</b:First>
          </b:Person>
          <b:Person>
            <b:Last>Shiller</b:Last>
            <b:Middle>J</b:Middle>
            <b:First>Robert</b:First>
          </b:Person>
          <b:Person>
            <b:Last>Weiss</b:Last>
            <b:Middle>N</b:Middle>
            <b:First>Allan</b:First>
          </b:Person>
        </b:NameList>
      </b:Author>
    </b:Author>
    <b:RefOrder>6</b:RefOrder>
  </b:Source>
  <b:Source>
    <b:Tag>heEff</b:Tag>
    <b:SourceType>JournalArticle</b:SourceType>
    <b:Guid>{00E877C6-F056-4AF9-805A-0FB307C89C30}</b:Guid>
    <b:Title>The Efficiency of the Market for Single-Family Homes</b:Title>
    <b:JournalName>The American Economic Review</b:JournalName>
    <b:Year>1989</b:Year>
    <b:Pages>125-137</b:Pages>
    <b:Author>
      <b:Author>
        <b:NameList>
          <b:Person>
            <b:Last>Case</b:Last>
            <b:Middle>E</b:Middle>
            <b:First>Karl</b:First>
          </b:Person>
          <b:Person>
            <b:Last>Shiller</b:Last>
            <b:Middle>J</b:Middle>
            <b:First>Robert</b:First>
          </b:Person>
        </b:NameList>
      </b:Author>
    </b:Author>
    <b:Volume>79</b:Volume>
    <b:Issue>1</b:Issue>
    <b:RefOrder>8</b:RefOrder>
  </b:Source>
  <b:Source>
    <b:Tag>Ade63</b:Tag>
    <b:SourceType>JournalArticle</b:SourceType>
    <b:Guid>{C05B6209-01AC-40A7-A672-8959B4C4B221}</b:Guid>
    <b:Title>On an Index of Quality Change</b:Title>
    <b:JournalName>Journal of the American Statistical Association</b:JournalName>
    <b:Year>1963</b:Year>
    <b:Pages>535-548</b:Pages>
    <b:Author>
      <b:Author>
        <b:NameList>
          <b:Person>
            <b:Last>Adelman</b:Last>
            <b:First>I</b:First>
          </b:Person>
          <b:Person>
            <b:Last>Griliches</b:Last>
            <b:First>Z</b:First>
          </b:Person>
        </b:NameList>
      </b:Author>
    </b:Author>
    <b:Volume>56</b:Volume>
    <b:RefOrder>9</b:RefOrder>
  </b:Source>
  <b:Source>
    <b:Tag>Gil94</b:Tag>
    <b:SourceType>JournalArticle</b:SourceType>
    <b:Guid>{5512B278-D0B3-4C81-88C8-AA9E6C3EB38D}</b:Guid>
    <b:Title>The Inside Story of Rates of Return</b:Title>
    <b:JournalName>The Quarterly Review of Commercial Finance Techniques</b:JournalName>
    <b:Year>1994</b:Year>
    <b:Pages>51-54</b:Pages>
    <b:Author>
      <b:Author>
        <b:NameList>
          <b:Person>
            <b:Last>Giliberto</b:Last>
            <b:Middle>S</b:Middle>
            <b:First>Michael</b:First>
          </b:Person>
        </b:NameList>
      </b:Author>
    </b:Author>
    <b:Volume>11</b:Volume>
    <b:Issue>1</b:Issue>
    <b:RefOrder>10</b:RefOrder>
  </b:Source>
  <b:Source>
    <b:Tag>Fis94</b:Tag>
    <b:SourceType>JournalArticle</b:SourceType>
    <b:Guid>{A344D8D0-C7AA-4D7C-9464-5B6497457B9D}</b:Guid>
    <b:Title>Value Indices of Commercial Real Estate: A Comparison of Index Construction Methods</b:Title>
    <b:JournalName>The Journal of Real Estate Finance and Economics</b:JournalName>
    <b:Year>1994</b:Year>
    <b:Pages>137-164</b:Pages>
    <b:Author>
      <b:Author>
        <b:NameList>
          <b:Person>
            <b:Last>Fisher</b:Last>
            <b:Middle>D</b:Middle>
            <b:First>Jeffrey</b:First>
          </b:Person>
          <b:Person>
            <b:Last>Geltner</b:Last>
            <b:First>David</b:First>
          </b:Person>
          <b:Person>
            <b:Last>Webb</b:Last>
            <b:Middle>R</b:Middle>
            <b:First>Brian</b:First>
          </b:Person>
        </b:NameList>
      </b:Author>
    </b:Author>
    <b:Volume>9</b:Volume>
    <b:Issue>2</b:Issue>
    <b:RefOrder>7</b:RefOrder>
  </b:Source>
  <b:Source>
    <b:Tag>LoA95</b:Tag>
    <b:SourceType>JournalArticle</b:SourceType>
    <b:Guid>{891982F0-342F-44DA-AD8E-66634DF651E4}</b:Guid>
    <b:Title>Implementing Asset Option Pricing Models When Asset Returns Are Predictable</b:Title>
    <b:JournalName>The Journal of Finance</b:JournalName>
    <b:Year>1995</b:Year>
    <b:Pages>87-129</b:Pages>
    <b:Author>
      <b:Author>
        <b:NameList>
          <b:Person>
            <b:Last>Lo</b:Last>
            <b:Middle>W</b:Middle>
            <b:First>Andrew</b:First>
          </b:Person>
          <b:Person>
            <b:Last>Wang</b:Last>
            <b:First>Jiang</b:First>
          </b:Person>
        </b:NameList>
      </b:Author>
    </b:Author>
    <b:Volume>50</b:Volume>
    <b:Issue>1</b:Issue>
    <b:RefOrder>13</b:RefOrder>
  </b:Source>
  <b:Source>
    <b:Tag>Bjo02</b:Tag>
    <b:SourceType>JournalArticle</b:SourceType>
    <b:Guid>{986D09D4-2DAE-4AF2-B692-5B9A5E90E41A}</b:Guid>
    <b:Title>On the pricing of real estate index linked swaps</b:Title>
    <b:JournalName>Journal of Housing Economics</b:JournalName>
    <b:Year>2002</b:Year>
    <b:Pages>418-432</b:Pages>
    <b:Author>
      <b:Author>
        <b:NameList>
          <b:Person>
            <b:Last>Bjork</b:Last>
            <b:First>Tomas</b:First>
          </b:Person>
          <b:Person>
            <b:Last>Clapham</b:Last>
            <b:First>Eric</b:First>
          </b:Person>
        </b:NameList>
      </b:Author>
    </b:Author>
    <b:Volume>11</b:Volume>
    <b:Issue>4</b:Issue>
    <b:RefOrder>14</b:RefOrder>
  </b:Source>
  <b:Source>
    <b:Tag>Pat08</b:Tag>
    <b:SourceType>JournalArticle</b:SourceType>
    <b:Guid>{C10EF557-206B-4887-A0C1-1133D4FB7B6E}</b:Guid>
    <b:Title>Pricing Property Index Linked Swaps with Counterparty Default Risk</b:Title>
    <b:JournalName>The Journal of Real Estate Finance and Economics</b:JournalName>
    <b:Year>2008</b:Year>
    <b:Pages>5-21</b:Pages>
    <b:Author>
      <b:Author>
        <b:NameList>
          <b:Person>
            <b:Last>Patel</b:Last>
            <b:First>Kanak</b:First>
          </b:Person>
          <b:Person>
            <b:Last>Pereira</b:Last>
            <b:First>Ricardo</b:First>
          </b:Person>
        </b:NameList>
      </b:Author>
    </b:Author>
    <b:Volume>36</b:Volume>
    <b:Issue>1</b:Issue>
    <b:DOI>10.1007/s11146-007-9073-3</b:DOI>
    <b:RefOrder>15</b:RefOrder>
  </b:Source>
  <b:Source>
    <b:Tag>Gel07</b:Tag>
    <b:SourceType>JournalArticle</b:SourceType>
    <b:Guid>{C77CCEEC-ABCA-4E2E-AC44-AFD0515E9313}</b:Guid>
    <b:Title>Pricing and Index Considerations in Commercial Real Estate Derivatives</b:Title>
    <b:JournalName>The Journal of Portfolio Management</b:JournalName>
    <b:Year>2007</b:Year>
    <b:Pages>99-1118</b:Pages>
    <b:Author>
      <b:Author>
        <b:NameList>
          <b:Person>
            <b:Last>Geltner</b:Last>
            <b:First>David</b:First>
          </b:Person>
          <b:Person>
            <b:Last>Fisher</b:Last>
            <b:First>Jeffrey</b:First>
          </b:Person>
        </b:NameList>
      </b:Author>
    </b:Author>
    <b:Volume>33</b:Volume>
    <b:Issue>5</b:Issue>
    <b:RefOrder>18</b:RefOrder>
  </b:Source>
  <b:Source>
    <b:Tag>Fis05</b:Tag>
    <b:SourceType>JournalArticle</b:SourceType>
    <b:Guid>{B1144E4D-E13B-4A4F-A6B9-4315A54EAD18}</b:Guid>
    <b:Title>New Strategies for Commercial Real Estate Investment and Risk Management</b:Title>
    <b:JournalName>The Journal of Portfolio Management</b:JournalName>
    <b:Year>2005</b:Year>
    <b:Pages>154-161</b:Pages>
    <b:Author>
      <b:Author>
        <b:NameList>
          <b:Person>
            <b:Last>Fisher</b:Last>
            <b:First>Jeffrey</b:First>
          </b:Person>
        </b:NameList>
      </b:Author>
    </b:Author>
    <b:Volume>31</b:Volume>
    <b:Issue>5</b:Issue>
    <b:RefOrder>20</b:RefOrder>
  </b:Source>
  <b:Source>
    <b:Tag>Liz12</b:Tag>
    <b:SourceType>JournalArticle</b:SourceType>
    <b:Guid>{4159D333-D428-4C12-8609-21697F3B0286}</b:Guid>
    <b:Title>Pricing Inefficiencies in Private Real Estate Markets Using Total Return Swaps</b:Title>
    <b:JournalName>Jorunal of Real Estate Financial Economics</b:JournalName>
    <b:Year>2012</b:Year>
    <b:Pages>774-803</b:Pages>
    <b:Author>
      <b:Author>
        <b:NameList>
          <b:Person>
            <b:Last>Lizieri</b:Last>
            <b:First>Colin</b:First>
          </b:Person>
          <b:Person>
            <b:Last>Marcato</b:Last>
            <b:First>Gianluca</b:First>
          </b:Person>
          <b:Person>
            <b:Last>Ogden</b:Last>
            <b:First>Paul</b:First>
          </b:Person>
          <b:Person>
            <b:Last>Baum</b:Last>
            <b:First>Andrew</b:First>
          </b:Person>
        </b:NameList>
      </b:Author>
    </b:Author>
    <b:Volume>45</b:Volume>
    <b:RefOrder>19</b:RefOrder>
  </b:Source>
  <b:Source>
    <b:Tag>Duc07</b:Tag>
    <b:SourceType>InternetSite</b:SourceType>
    <b:Guid>{8F74F8AA-53C9-41B0-9076-40A55AE9E6D5}</b:Guid>
    <b:Year>2007</b:Year>
    <b:InternetSiteTitle>IPE RA Magazine</b:InternetSiteTitle>
    <b:Month>July</b:Month>
    <b:URL>https://realassets.ipe.com/property-derivatives-and-the-hedging-fallacy/26164.article</b:URL>
    <b:Author>
      <b:Author>
        <b:NameList>
          <b:Person>
            <b:Last>Ducoulombier</b:Last>
            <b:First>Frédéric</b:First>
          </b:Person>
        </b:NameList>
      </b:Author>
    </b:Author>
    <b:RefOrder>21</b:RefOrder>
  </b:Source>
  <b:Source>
    <b:Tag>Tit89</b:Tag>
    <b:SourceType>JournalArticle</b:SourceType>
    <b:Guid>{B8FC0684-4275-41D7-B7DF-0205F9D8BDC6}</b:Guid>
    <b:Title>Valuing Commercial Mortgages: An Empirical Investigation of the Contingent-Claims Approach to Pricing Risky Debt</b:Title>
    <b:Year>1989</b:Year>
    <b:JournalName>The Journal of Finance</b:JournalName>
    <b:Pages>345-373</b:Pages>
    <b:Author>
      <b:Author>
        <b:NameList>
          <b:Person>
            <b:Last>Titman</b:Last>
            <b:First>Sheridan</b:First>
          </b:Person>
          <b:Person>
            <b:Last>Torous</b:Last>
            <b:First>Walter</b:First>
          </b:Person>
        </b:NameList>
      </b:Author>
    </b:Author>
    <b:Volume>44</b:Volume>
    <b:Issue>2</b:Issue>
    <b:RefOrder>16</b:RefOrder>
  </b:Source>
  <b:Source>
    <b:Tag>Par96</b:Tag>
    <b:SourceType>JournalArticle</b:SourceType>
    <b:Guid>{441AA985-390B-4AAA-8448-3FE3F820A41C}</b:Guid>
    <b:Title>An Economic Analysis of Real Estate Swaps</b:Title>
    <b:JournalName>The Canadian Journal of Economics</b:JournalName>
    <b:Year>1996</b:Year>
    <b:Pages>S527-S533</b:Pages>
    <b:Author>
      <b:Author>
        <b:NameList>
          <b:Person>
            <b:Last>Park</b:Last>
            <b:Middle>H</b:Middle>
            <b:First>Tae</b:First>
          </b:Person>
          <b:Person>
            <b:Last>Switzer</b:Last>
            <b:Middle>N</b:Middle>
            <b:First>Lorne</b:First>
          </b:Person>
        </b:NameList>
      </b:Author>
    </b:Author>
    <b:Volume>29</b:Volume>
    <b:Issue>2</b:Issue>
    <b:RefOrder>22</b:RefOrder>
  </b:Source>
  <b:Source>
    <b:Tag>Van02</b:Tag>
    <b:SourceType>Misc</b:SourceType>
    <b:Guid>{3BC7CA2F-EF7C-468B-9F1F-7C770B1117A2}</b:Guid>
    <b:Title>Risk-Neutral Valuation of Real Estate Derivatives</b:Title>
    <b:JournalName>ORTEC Technical Paper</b:JournalName>
    <b:Year>2009</b:Year>
    <b:Author>
      <b:Author>
        <b:NameList>
          <b:Person>
            <b:Last>Van Bragt</b:Last>
            <b:First>David</b:First>
          </b:Person>
          <b:Person>
            <b:Last>Francke</b:Last>
            <b:First>Marc</b:First>
          </b:Person>
          <b:Person>
            <b:Last>Kramer</b:Last>
            <b:First>Bodine</b:First>
          </b:Person>
          <b:Person>
            <b:Last>Pelsser</b:Last>
            <b:First>Antoon</b:First>
          </b:Person>
        </b:NameList>
      </b:Author>
    </b:Author>
    <b:City>Rotterdam</b:City>
    <b:Publisher>ORTEC Finance Research Center</b:Publisher>
    <b:PublicationTitle>ORTEC Technical Paper</b:PublicationTitle>
    <b:PeriodicalTitle>ORTEC Technical Paper</b:PeriodicalTitle>
    <b:Month>02</b:Month>
    <b:RefOrder>24</b:RefOrder>
  </b:Source>
  <b:Source>
    <b:Tag>Blu87</b:Tag>
    <b:SourceType>JournalArticle</b:SourceType>
    <b:Guid>{D5741EA7-3412-4373-ACC1-2E6C6C700E79}</b:Guid>
    <b:Title>Property portfolio allocation: A multi‐factor model</b:Title>
    <b:JournalName>Journal of Property Research</b:JournalName>
    <b:Year>1987</b:Year>
    <b:Pages>145-156</b:Pages>
    <b:Author>
      <b:Author>
        <b:NameList>
          <b:Person>
            <b:Last>Blundell</b:Last>
            <b:First>G</b:First>
          </b:Person>
          <b:Person>
            <b:Last>Ward</b:Last>
            <b:First>C. W. R</b:First>
          </b:Person>
        </b:NameList>
      </b:Author>
    </b:Author>
    <b:Volume>4</b:Volume>
    <b:Issue>2</b:Issue>
    <b:RefOrder>25</b:RefOrder>
  </b:Source>
  <b:Source>
    <b:Tag>Vas97</b:Tag>
    <b:SourceType>JournalArticle</b:SourceType>
    <b:Guid>{9277E7D7-AA2F-420B-9967-FEAD2A982345}</b:Guid>
    <b:Title>An equilibrium characterization of the term structure</b:Title>
    <b:JournalName>Journal of Financial Economics</b:JournalName>
    <b:Year>1977</b:Year>
    <b:Pages>177-188</b:Pages>
    <b:Author>
      <b:Author>
        <b:NameList>
          <b:Person>
            <b:Last>Vasicek</b:Last>
            <b:First>Oldrich</b:First>
          </b:Person>
        </b:NameList>
      </b:Author>
    </b:Author>
    <b:Volume>5</b:Volume>
    <b:Issue>2</b:Issue>
    <b:RefOrder>26</b:RefOrder>
  </b:Source>
  <b:Source>
    <b:Tag>Wic19</b:Tag>
    <b:SourceType>JournalArticle</b:SourceType>
    <b:Guid>{4FE894CE-2B6C-4C8C-8F6D-9BF8DE4218CB}</b:Guid>
    <b:Title>Welcome to the Tidyverse</b:Title>
    <b:JournalName>Journal of Open Source Software</b:JournalName>
    <b:Year>2019</b:Year>
    <b:Pages>1686</b:Pages>
    <b:Volume>4</b:Volume>
    <b:DOI>10.21105/joss.01686</b:DOI>
    <b:Author>
      <b:Author>
        <b:NameList>
          <b:Person>
            <b:Last>Wickham</b:Last>
            <b:First>Hadley</b:First>
          </b:Person>
          <b:Person>
            <b:Last>Bryan</b:Last>
            <b:First>Jennifer</b:First>
          </b:Person>
          <b:Person>
            <b:Last>Chang</b:Last>
            <b:First>Winston</b:First>
          </b:Person>
          <b:Person>
            <b:Last>McGowan</b:Last>
            <b:First>Lucy</b:First>
            <b:Middle>D'Agostino</b:Middle>
          </b:Person>
          <b:Person>
            <b:Last>François</b:Last>
            <b:First>Romain</b:First>
          </b:Person>
          <b:Person>
            <b:Last>Grolemund</b:Last>
            <b:First>Garrett</b:First>
          </b:Person>
          <b:Person>
            <b:Last>Hayes</b:Last>
            <b:First>Alex</b:First>
          </b:Person>
          <b:Person>
            <b:Last>Henry</b:Last>
            <b:First>Lionel</b:First>
          </b:Person>
          <b:Person>
            <b:Last>Hester</b:Last>
            <b:First>Jim</b:First>
          </b:Person>
          <b:Person>
            <b:Last>Kuhn</b:Last>
            <b:First>Max</b:First>
          </b:Person>
          <b:Person>
            <b:Last>Pedersen</b:Last>
            <b:First>Lin</b:First>
          </b:Person>
          <b:Person>
            <b:Last>Miller</b:Last>
            <b:First>Evan</b:First>
          </b:Person>
          <b:Person>
            <b:Last>Bache</b:Last>
            <b:Middle>Milton</b:Middle>
            <b:First>Stephan</b:First>
          </b:Person>
          <b:Person>
            <b:Last>Müller</b:Last>
            <b:First>Kirill</b:First>
          </b:Person>
          <b:Person>
            <b:Last>Ooms</b:Last>
            <b:First>Jeroen</b:First>
          </b:Person>
          <b:Person>
            <b:Last>Robinson</b:Last>
            <b:First>David</b:First>
          </b:Person>
          <b:Person>
            <b:Last>Seidel</b:Last>
            <b:Middle>Paige</b:Middle>
            <b:First>Dana</b:First>
          </b:Person>
          <b:Person>
            <b:Last>Spinu</b:Last>
            <b:First>Vitalie</b:First>
          </b:Person>
          <b:Person>
            <b:Last>Takahashi</b:Last>
            <b:First>Kohske</b:First>
          </b:Person>
          <b:Person>
            <b:Last>Vaughan</b:Last>
            <b:First>Davis</b:First>
          </b:Person>
          <b:Person>
            <b:Last>Wilke</b:Last>
            <b:First>Claus</b:First>
          </b:Person>
          <b:Person>
            <b:Last>Woo</b:Last>
            <b:First>Kara</b:First>
          </b:Person>
          <b:Person>
            <b:Last>Yutani</b:Last>
            <b:First>Hiroaki</b:First>
          </b:Person>
        </b:NameList>
      </b:Author>
    </b:Author>
    <b:RefOrder>27</b:RefOrder>
  </b:Source>
</b:Sources>
</file>

<file path=customXml/itemProps1.xml><?xml version="1.0" encoding="utf-8"?>
<ds:datastoreItem xmlns:ds="http://schemas.openxmlformats.org/officeDocument/2006/customXml" ds:itemID="{2C2596A9-EB5E-49C6-A648-1C74C7AC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
  <TotalTime>1078</TotalTime>
  <Pages>16</Pages>
  <Words>4199</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27240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Nicolás Cuesta Quintero</dc:creator>
  <cp:lastModifiedBy>Nicolás Cuesta Quintero</cp:lastModifiedBy>
  <cp:revision>675</cp:revision>
  <cp:lastPrinted>2021-04-17T20:28:00Z</cp:lastPrinted>
  <dcterms:created xsi:type="dcterms:W3CDTF">2021-04-17T16:36:00Z</dcterms:created>
  <dcterms:modified xsi:type="dcterms:W3CDTF">2021-06-19T21:02:00Z</dcterms:modified>
</cp:coreProperties>
</file>