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before="0" w:after="60"/>
      </w:pPr>
      <w:r>
        <w:rPr>
          <w:rFonts w:ascii="Arial" w:cs="Arial" w:eastAsia="Arial" w:hAnsi="Arial"/>
          <w:b/>
          <w:bCs/>
          <w:color w:val="1B3A6B"/>
          <w:sz w:val="40"/>
          <w:szCs w:val="40"/>
        </w:rPr>
        <w:t xml:space="preserve">The Architecture of Dimensionality:</w:t>
      </w:r>
    </w:p>
    <w:p>
      <w:pPr>
        <w:pBdr>
          <w:bottom w:val="single" w:color="1B3A6B" w:sz="16" w:space="1"/>
        </w:pBdr>
        <w:spacing w:before="0" w:after="120"/>
      </w:pPr>
      <w:r>
        <w:rPr>
          <w:rFonts w:ascii="Arial" w:cs="Arial" w:eastAsia="Arial" w:hAnsi="Arial"/>
          <w:b/>
          <w:bCs/>
          <w:color w:val="2E6DA4"/>
          <w:sz w:val="32"/>
          <w:szCs w:val="32"/>
        </w:rPr>
        <w:t xml:space="preserve">Hedonic Pricing &amp; the Frisch–Waugh–Lovell Theorem</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900"/>
        <w:gridCol w:w="2000"/>
        <w:gridCol w:w="2200"/>
        <w:gridCol w:w="3620"/>
      </w:tblGrid>
      <w:tr>
        <w:tc>
          <w:tcPr>
            <w:tcW w:type="dxa" w:w="1900"/>
            <w:tcBorders>
              <w:top w:val="none"/>
              <w:left w:val="none"/>
              <w:bottom w:val="none"/>
              <w:right w:val="none"/>
            </w:tcBorders>
            <w:shd w:fill="D0E8FF" w:val="clear"/>
            <w:tcMar>
              <w:top w:type="dxa" w:w="60"/>
              <w:left w:type="dxa" w:w="100"/>
              <w:bottom w:type="dxa" w:w="60"/>
              <w:right w:type="dxa" w:w="100"/>
            </w:tcMar>
          </w:tcPr>
          <w:p>
            <w:pPr>
              <w:jc w:val="center"/>
            </w:pPr>
            <w:r>
              <w:rPr>
                <w:rFonts w:ascii="Arial" w:cs="Arial" w:eastAsia="Arial" w:hAnsi="Arial"/>
                <w:b/>
                <w:bCs/>
                <w:color w:val="1B3A6B"/>
                <w:sz w:val="17"/>
                <w:szCs w:val="17"/>
              </w:rPr>
              <w:t xml:space="preserve">Python 3.10+</w:t>
            </w:r>
          </w:p>
        </w:tc>
        <w:tc>
          <w:tcPr>
            <w:tcW w:type="dxa" w:w="2000"/>
            <w:tcBorders>
              <w:top w:val="none"/>
              <w:left w:val="none"/>
              <w:bottom w:val="none"/>
              <w:right w:val="none"/>
            </w:tcBorders>
            <w:shd w:fill="D6F0E4" w:val="clear"/>
            <w:tcMar>
              <w:top w:type="dxa" w:w="60"/>
              <w:left w:type="dxa" w:w="100"/>
              <w:bottom w:type="dxa" w:w="60"/>
              <w:right w:type="dxa" w:w="100"/>
            </w:tcMar>
          </w:tcPr>
          <w:p>
            <w:pPr>
              <w:jc w:val="center"/>
            </w:pPr>
            <w:r>
              <w:rPr>
                <w:rFonts w:ascii="Arial" w:cs="Arial" w:eastAsia="Arial" w:hAnsi="Arial"/>
                <w:b/>
                <w:bCs/>
                <w:color w:val="0F5132"/>
                <w:sz w:val="17"/>
                <w:szCs w:val="17"/>
              </w:rPr>
              <w:t xml:space="preserve">statsmodels OLS</w:t>
            </w:r>
          </w:p>
        </w:tc>
        <w:tc>
          <w:tcPr>
            <w:tcW w:type="dxa" w:w="2200"/>
            <w:tcBorders>
              <w:top w:val="none"/>
              <w:left w:val="none"/>
              <w:bottom w:val="none"/>
              <w:right w:val="none"/>
            </w:tcBorders>
            <w:shd w:fill="FFF0D0" w:val="clear"/>
            <w:tcMar>
              <w:top w:type="dxa" w:w="60"/>
              <w:left w:type="dxa" w:w="100"/>
              <w:bottom w:type="dxa" w:w="60"/>
              <w:right w:type="dxa" w:w="100"/>
            </w:tcMar>
          </w:tcPr>
          <w:p>
            <w:pPr>
              <w:jc w:val="center"/>
            </w:pPr>
            <w:r>
              <w:rPr>
                <w:rFonts w:ascii="Arial" w:cs="Arial" w:eastAsia="Arial" w:hAnsi="Arial"/>
                <w:b/>
                <w:bCs/>
                <w:color w:val="7A4F00"/>
                <w:sz w:val="17"/>
                <w:szCs w:val="17"/>
              </w:rPr>
              <w:t xml:space="preserve">FWL Theorem</w:t>
            </w:r>
          </w:p>
        </w:tc>
        <w:tc>
          <w:tcPr>
            <w:tcW w:type="dxa" w:w="3620"/>
            <w:tcBorders>
              <w:top w:val="none"/>
              <w:left w:val="none"/>
              <w:bottom w:val="none"/>
              <w:right w:val="none"/>
            </w:tcBorders>
            <w:shd w:fill="F0E8FF" w:val="clear"/>
            <w:tcMar>
              <w:top w:type="dxa" w:w="60"/>
              <w:left w:type="dxa" w:w="100"/>
              <w:bottom w:type="dxa" w:w="60"/>
              <w:right w:type="dxa" w:w="100"/>
            </w:tcMar>
          </w:tcPr>
          <w:p>
            <w:pPr>
              <w:jc w:val="center"/>
            </w:pPr>
            <w:r>
              <w:rPr>
                <w:rFonts w:ascii="Arial" w:cs="Arial" w:eastAsia="Arial" w:hAnsi="Arial"/>
                <w:b/>
                <w:bCs/>
                <w:color w:val="3D0F6E"/>
                <w:sz w:val="17"/>
                <w:szCs w:val="17"/>
              </w:rPr>
              <w:t xml:space="preserve">2026 CA Real Estate</w:t>
            </w:r>
          </w:p>
        </w:tc>
      </w:tr>
    </w:tbl>
    <w:p>
      <w:pPr>
        <w:spacing w:before="240" w:after="0"/>
      </w:pPr>
    </w:p>
    <w:p>
      <w:pPr>
        <w:pStyle w:val="Heading2"/>
        <w:pBdr>
          <w:bottom w:val="single" w:color="2E6DA4" w:sz="8" w:space="1"/>
        </w:pBdr>
        <w:spacing w:before="320" w:after="80"/>
      </w:pPr>
      <w:r>
        <w:rPr>
          <w:rFonts w:ascii="Arial" w:cs="Arial" w:eastAsia="Arial" w:hAnsi="Arial"/>
          <w:b/>
          <w:bCs/>
          <w:color w:val="1B3A6B"/>
          <w:sz w:val="26"/>
          <w:szCs w:val="26"/>
        </w:rPr>
        <w:t xml:space="preserve">Objective</w:t>
      </w:r>
    </w:p>
    <w:p>
      <w:pPr>
        <w:spacing w:before="80" w:after="80"/>
      </w:pPr>
      <w:r>
        <w:rPr>
          <w:rFonts w:ascii="Arial" w:cs="Arial" w:eastAsia="Arial" w:hAnsi="Arial"/>
          <w:color w:val="2D2D2D"/>
          <w:sz w:val="22"/>
          <w:szCs w:val="22"/>
        </w:rPr>
        <w:t xml:space="preserve">This lab constructs a multivariate hedonic pricing model on 2026 California residential real estate data to empirically demonstrate omitted variable bias (OVB) and formally prove the Frisch–Waugh–Lovell (FWL) theorem by showing that manually partialling out confounding variance via sequential residual extraction yields coefficients that are algebraically identical to those produced by full multivariate OLS—establishing </w:t>
      </w:r>
      <w:r>
        <w:rPr>
          <w:rFonts w:ascii="Arial" w:cs="Arial" w:eastAsia="Arial" w:hAnsi="Arial"/>
          <w:i/>
          <w:iCs/>
          <w:color w:val="2D2D2D"/>
          <w:sz w:val="22"/>
          <w:szCs w:val="22"/>
        </w:rPr>
        <w:t xml:space="preserve">algorithmic ceteris paribus</w:t>
      </w:r>
      <w:r>
        <w:rPr>
          <w:rFonts w:ascii="Arial" w:cs="Arial" w:eastAsia="Arial" w:hAnsi="Arial"/>
          <w:color w:val="2D2D2D"/>
          <w:sz w:val="22"/>
          <w:szCs w:val="22"/>
        </w:rPr>
        <w:t xml:space="preserve"> as a provable mathematical identity.</w:t>
      </w:r>
    </w:p>
    <w:p>
      <w:pPr>
        <w:spacing w:before="80" w:after="0"/>
      </w:pPr>
    </w:p>
    <w:p>
      <w:pPr>
        <w:pStyle w:val="Heading2"/>
        <w:pBdr>
          <w:bottom w:val="single" w:color="2E6DA4" w:sz="8" w:space="1"/>
        </w:pBdr>
        <w:spacing w:before="320" w:after="80"/>
      </w:pPr>
      <w:r>
        <w:rPr>
          <w:rFonts w:ascii="Arial" w:cs="Arial" w:eastAsia="Arial" w:hAnsi="Arial"/>
          <w:b/>
          <w:bCs/>
          <w:color w:val="1B3A6B"/>
          <w:sz w:val="26"/>
          <w:szCs w:val="26"/>
        </w:rPr>
        <w:t xml:space="preserve">Dataset</w:t>
      </w:r>
    </w:p>
    <w:p>
      <w:pPr>
        <w:pStyle w:val="ListParagraph"/>
        <w:numPr>
          <w:ilvl w:val="0"/>
          <w:numId w:val="2"/>
        </w:numPr>
        <w:spacing w:before="60" w:after="60"/>
      </w:pPr>
      <w:r>
        <w:rPr>
          <w:rFonts w:ascii="Arial" w:cs="Arial" w:eastAsia="Arial" w:hAnsi="Arial"/>
          <w:color w:val="2D2D2D"/>
          <w:sz w:val="22"/>
          <w:szCs w:val="22"/>
        </w:rPr>
        <w:t xml:space="preserve">Source: Zillow synthetic benchmark — 2026 California residential market</w:t>
      </w:r>
    </w:p>
    <w:p>
      <w:pPr>
        <w:pStyle w:val="ListParagraph"/>
        <w:numPr>
          <w:ilvl w:val="0"/>
          <w:numId w:val="2"/>
        </w:numPr>
        <w:spacing w:before="60" w:after="60"/>
      </w:pPr>
      <w:r>
        <w:rPr>
          <w:rFonts w:ascii="Arial" w:cs="Arial" w:eastAsia="Arial" w:hAnsi="Arial"/>
          <w:b/>
          <w:bCs/>
          <w:color w:val="1A1A1A"/>
          <w:sz w:val="22"/>
          <w:szCs w:val="22"/>
        </w:rPr>
        <w:t xml:space="preserve">Sale_Price </w:t>
      </w:r>
      <w:r>
        <w:rPr>
          <w:rFonts w:ascii="Arial" w:cs="Arial" w:eastAsia="Arial" w:hAnsi="Arial"/>
          <w:color w:val="2D2D2D"/>
          <w:sz w:val="22"/>
          <w:szCs w:val="22"/>
        </w:rPr>
        <w:t xml:space="preserve">Target variable:</w:t>
      </w:r>
    </w:p>
    <w:p>
      <w:pPr>
        <w:pStyle w:val="ListParagraph"/>
        <w:numPr>
          <w:ilvl w:val="0"/>
          <w:numId w:val="2"/>
        </w:numPr>
        <w:spacing w:before="60" w:after="60"/>
      </w:pPr>
      <w:r>
        <w:rPr>
          <w:rFonts w:ascii="Arial" w:cs="Arial" w:eastAsia="Arial" w:hAnsi="Arial"/>
          <w:b/>
          <w:bCs/>
          <w:color w:val="1A1A1A"/>
          <w:sz w:val="22"/>
          <w:szCs w:val="22"/>
        </w:rPr>
        <w:t xml:space="preserve">Property_Age (years), Distance_to_Tech_Hub (km) </w:t>
      </w:r>
      <w:r>
        <w:rPr>
          <w:rFonts w:ascii="Arial" w:cs="Arial" w:eastAsia="Arial" w:hAnsi="Arial"/>
          <w:color w:val="2D2D2D"/>
          <w:sz w:val="22"/>
          <w:szCs w:val="22"/>
        </w:rPr>
        <w:t xml:space="preserve">Covariates:</w:t>
      </w:r>
    </w:p>
    <w:p>
      <w:pPr>
        <w:pStyle w:val="ListParagraph"/>
        <w:numPr>
          <w:ilvl w:val="0"/>
          <w:numId w:val="2"/>
        </w:numPr>
        <w:spacing w:before="60" w:after="60"/>
      </w:pPr>
      <w:r>
        <w:rPr>
          <w:rFonts w:ascii="Arial" w:cs="Arial" w:eastAsia="Arial" w:hAnsi="Arial"/>
          <w:color w:val="2D2D2D"/>
          <w:sz w:val="22"/>
          <w:szCs w:val="22"/>
        </w:rPr>
        <w:t xml:space="preserve">Design intent: covariates carry non-trivial shared covariance, making them ideal for isolating confounding structure</w:t>
      </w:r>
    </w:p>
    <w:p>
      <w:pPr>
        <w:spacing w:before="120" w:after="0"/>
      </w:pPr>
    </w:p>
    <w:p>
      <w:pPr>
        <w:pStyle w:val="Heading2"/>
        <w:pBdr>
          <w:bottom w:val="single" w:color="2E6DA4" w:sz="8" w:space="1"/>
        </w:pBdr>
        <w:spacing w:before="320" w:after="80"/>
      </w:pPr>
      <w:r>
        <w:rPr>
          <w:rFonts w:ascii="Arial" w:cs="Arial" w:eastAsia="Arial" w:hAnsi="Arial"/>
          <w:b/>
          <w:bCs/>
          <w:color w:val="1B3A6B"/>
          <w:sz w:val="26"/>
          <w:szCs w:val="26"/>
        </w:rPr>
        <w:t xml:space="preserve">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A8C4E0" w:sz="1"/>
              <w:left w:val="single" w:color="A8C4E0" w:sz="1"/>
              <w:bottom w:val="single" w:color="A8C4E0" w:sz="1"/>
              <w:right w:val="single" w:color="A8C4E0" w:sz="1"/>
            </w:tcBorders>
            <w:shd w:fill="1B3A6B" w:val="clear"/>
            <w:tcMar>
              <w:top w:type="dxa" w:w="80"/>
              <w:left w:type="dxa" w:w="140"/>
              <w:bottom w:type="dxa" w:w="80"/>
              <w:right w:type="dxa" w:w="140"/>
            </w:tcMar>
          </w:tcPr>
          <w:p>
            <w:r>
              <w:rPr>
                <w:rFonts w:ascii="Arial" w:cs="Arial" w:eastAsia="Arial" w:hAnsi="Arial"/>
                <w:b/>
                <w:bCs/>
                <w:color w:val="FFFFFF"/>
                <w:sz w:val="20"/>
                <w:szCs w:val="20"/>
              </w:rPr>
              <w:t xml:space="preserve">Tool</w:t>
            </w:r>
          </w:p>
        </w:tc>
        <w:tc>
          <w:tcPr>
            <w:tcW w:type="dxa" w:w="7160"/>
            <w:tcBorders>
              <w:top w:val="single" w:color="A8C4E0" w:sz="1"/>
              <w:left w:val="single" w:color="A8C4E0" w:sz="1"/>
              <w:bottom w:val="single" w:color="A8C4E0" w:sz="1"/>
              <w:right w:val="single" w:color="A8C4E0" w:sz="1"/>
            </w:tcBorders>
            <w:shd w:fill="1B3A6B" w:val="clear"/>
            <w:tcMar>
              <w:top w:type="dxa" w:w="80"/>
              <w:left w:type="dxa" w:w="140"/>
              <w:bottom w:type="dxa" w:w="80"/>
              <w:right w:type="dxa" w:w="140"/>
            </w:tcMar>
          </w:tcPr>
          <w:p>
            <w:r>
              <w:rPr>
                <w:rFonts w:ascii="Arial" w:cs="Arial" w:eastAsia="Arial" w:hAnsi="Arial"/>
                <w:b/>
                <w:bCs/>
                <w:color w:val="FFFFFF"/>
                <w:sz w:val="20"/>
                <w:szCs w:val="20"/>
              </w:rPr>
              <w:t xml:space="preserve">Role</w:t>
            </w:r>
          </w:p>
        </w:tc>
      </w:tr>
      <w:tr>
        <w:tc>
          <w:tcPr>
            <w:tcW w:type="dxa" w:w="2200"/>
            <w:tcBorders>
              <w:top w:val="single" w:color="A8C4E0" w:sz="1"/>
              <w:left w:val="single" w:color="A8C4E0" w:sz="1"/>
              <w:bottom w:val="single" w:color="A8C4E0" w:sz="1"/>
              <w:right w:val="single" w:color="A8C4E0" w:sz="1"/>
            </w:tcBorders>
            <w:shd w:fill="FFFFFF" w:val="clear"/>
            <w:tcMar>
              <w:top w:type="dxa" w:w="80"/>
              <w:left w:type="dxa" w:w="140"/>
              <w:bottom w:type="dxa" w:w="80"/>
              <w:right w:type="dxa" w:w="140"/>
            </w:tcMar>
          </w:tcPr>
          <w:p>
            <w:r>
              <w:rPr>
                <w:rFonts w:ascii="Courier New" w:cs="Courier New" w:eastAsia="Courier New" w:hAnsi="Courier New"/>
                <w:b/>
                <w:bCs/>
                <w:color w:val="2E6DA4"/>
                <w:sz w:val="20"/>
                <w:szCs w:val="20"/>
              </w:rPr>
              <w:t xml:space="preserve">Python 3.10+</w:t>
            </w:r>
          </w:p>
        </w:tc>
        <w:tc>
          <w:tcPr>
            <w:tcW w:type="dxa" w:w="7160"/>
            <w:tcBorders>
              <w:top w:val="single" w:color="A8C4E0" w:sz="1"/>
              <w:left w:val="single" w:color="A8C4E0" w:sz="1"/>
              <w:bottom w:val="single" w:color="A8C4E0" w:sz="1"/>
              <w:right w:val="single" w:color="A8C4E0" w:sz="1"/>
            </w:tcBorders>
            <w:shd w:fill="FFFFFF" w:val="clear"/>
            <w:tcMar>
              <w:top w:type="dxa" w:w="80"/>
              <w:left w:type="dxa" w:w="140"/>
              <w:bottom w:type="dxa" w:w="80"/>
              <w:right w:type="dxa" w:w="140"/>
            </w:tcMar>
          </w:tcPr>
          <w:p>
            <w:r>
              <w:rPr>
                <w:rFonts w:ascii="Arial" w:cs="Arial" w:eastAsia="Arial" w:hAnsi="Arial"/>
                <w:color w:val="2D2D2D"/>
                <w:sz w:val="20"/>
                <w:szCs w:val="20"/>
              </w:rPr>
              <w:t xml:space="preserve">Runtime environment</w:t>
            </w:r>
          </w:p>
        </w:tc>
      </w:tr>
      <w:tr>
        <w:tc>
          <w:tcPr>
            <w:tcW w:type="dxa" w:w="2200"/>
            <w:tcBorders>
              <w:top w:val="single" w:color="A8C4E0" w:sz="1"/>
              <w:left w:val="single" w:color="A8C4E0" w:sz="1"/>
              <w:bottom w:val="single" w:color="A8C4E0" w:sz="1"/>
              <w:right w:val="single" w:color="A8C4E0" w:sz="1"/>
            </w:tcBorders>
            <w:shd w:fill="F3F8FD" w:val="clear"/>
            <w:tcMar>
              <w:top w:type="dxa" w:w="80"/>
              <w:left w:type="dxa" w:w="140"/>
              <w:bottom w:type="dxa" w:w="80"/>
              <w:right w:type="dxa" w:w="140"/>
            </w:tcMar>
          </w:tcPr>
          <w:p>
            <w:r>
              <w:rPr>
                <w:rFonts w:ascii="Courier New" w:cs="Courier New" w:eastAsia="Courier New" w:hAnsi="Courier New"/>
                <w:b/>
                <w:bCs/>
                <w:color w:val="2E6DA4"/>
                <w:sz w:val="20"/>
                <w:szCs w:val="20"/>
              </w:rPr>
              <w:t xml:space="preserve">pandas</w:t>
            </w:r>
          </w:p>
        </w:tc>
        <w:tc>
          <w:tcPr>
            <w:tcW w:type="dxa" w:w="7160"/>
            <w:tcBorders>
              <w:top w:val="single" w:color="A8C4E0" w:sz="1"/>
              <w:left w:val="single" w:color="A8C4E0" w:sz="1"/>
              <w:bottom w:val="single" w:color="A8C4E0" w:sz="1"/>
              <w:right w:val="single" w:color="A8C4E0" w:sz="1"/>
            </w:tcBorders>
            <w:shd w:fill="F3F8FD" w:val="clear"/>
            <w:tcMar>
              <w:top w:type="dxa" w:w="80"/>
              <w:left w:type="dxa" w:w="140"/>
              <w:bottom w:type="dxa" w:w="80"/>
              <w:right w:type="dxa" w:w="140"/>
            </w:tcMar>
          </w:tcPr>
          <w:p>
            <w:r>
              <w:rPr>
                <w:rFonts w:ascii="Arial" w:cs="Arial" w:eastAsia="Arial" w:hAnsi="Arial"/>
                <w:color w:val="2D2D2D"/>
                <w:sz w:val="20"/>
                <w:szCs w:val="20"/>
              </w:rPr>
              <w:t xml:space="preserve">Data ingestion, feature engineering, residual storage</w:t>
            </w:r>
          </w:p>
        </w:tc>
      </w:tr>
      <w:tr>
        <w:tc>
          <w:tcPr>
            <w:tcW w:type="dxa" w:w="2200"/>
            <w:tcBorders>
              <w:top w:val="single" w:color="A8C4E0" w:sz="1"/>
              <w:left w:val="single" w:color="A8C4E0" w:sz="1"/>
              <w:bottom w:val="single" w:color="A8C4E0" w:sz="1"/>
              <w:right w:val="single" w:color="A8C4E0" w:sz="1"/>
            </w:tcBorders>
            <w:shd w:fill="FFFFFF" w:val="clear"/>
            <w:tcMar>
              <w:top w:type="dxa" w:w="80"/>
              <w:left w:type="dxa" w:w="140"/>
              <w:bottom w:type="dxa" w:w="80"/>
              <w:right w:type="dxa" w:w="140"/>
            </w:tcMar>
          </w:tcPr>
          <w:p>
            <w:r>
              <w:rPr>
                <w:rFonts w:ascii="Courier New" w:cs="Courier New" w:eastAsia="Courier New" w:hAnsi="Courier New"/>
                <w:b/>
                <w:bCs/>
                <w:color w:val="2E6DA4"/>
                <w:sz w:val="20"/>
                <w:szCs w:val="20"/>
              </w:rPr>
              <w:t xml:space="preserve">statsmodels.formula.api</w:t>
            </w:r>
          </w:p>
        </w:tc>
        <w:tc>
          <w:tcPr>
            <w:tcW w:type="dxa" w:w="7160"/>
            <w:tcBorders>
              <w:top w:val="single" w:color="A8C4E0" w:sz="1"/>
              <w:left w:val="single" w:color="A8C4E0" w:sz="1"/>
              <w:bottom w:val="single" w:color="A8C4E0" w:sz="1"/>
              <w:right w:val="single" w:color="A8C4E0" w:sz="1"/>
            </w:tcBorders>
            <w:shd w:fill="FFFFFF" w:val="clear"/>
            <w:tcMar>
              <w:top w:type="dxa" w:w="80"/>
              <w:left w:type="dxa" w:w="140"/>
              <w:bottom w:type="dxa" w:w="80"/>
              <w:right w:type="dxa" w:w="140"/>
            </w:tcMar>
          </w:tcPr>
          <w:p>
            <w:r>
              <w:rPr>
                <w:rFonts w:ascii="Arial" w:cs="Arial" w:eastAsia="Arial" w:hAnsi="Arial"/>
                <w:color w:val="2D2D2D"/>
                <w:sz w:val="20"/>
                <w:szCs w:val="20"/>
              </w:rPr>
              <w:t xml:space="preserve">OLS estimation, coefficient extraction, model summaries</w:t>
            </w:r>
          </w:p>
        </w:tc>
      </w:tr>
      <w:tr>
        <w:tc>
          <w:tcPr>
            <w:tcW w:type="dxa" w:w="2200"/>
            <w:tcBorders>
              <w:top w:val="single" w:color="A8C4E0" w:sz="1"/>
              <w:left w:val="single" w:color="A8C4E0" w:sz="1"/>
              <w:bottom w:val="single" w:color="A8C4E0" w:sz="1"/>
              <w:right w:val="single" w:color="A8C4E0" w:sz="1"/>
            </w:tcBorders>
            <w:shd w:fill="F3F8FD" w:val="clear"/>
            <w:tcMar>
              <w:top w:type="dxa" w:w="80"/>
              <w:left w:type="dxa" w:w="140"/>
              <w:bottom w:type="dxa" w:w="80"/>
              <w:right w:type="dxa" w:w="140"/>
            </w:tcMar>
          </w:tcPr>
          <w:p>
            <w:r>
              <w:rPr>
                <w:rFonts w:ascii="Courier New" w:cs="Courier New" w:eastAsia="Courier New" w:hAnsi="Courier New"/>
                <w:b/>
                <w:bCs/>
                <w:color w:val="2E6DA4"/>
                <w:sz w:val="20"/>
                <w:szCs w:val="20"/>
              </w:rPr>
              <w:t xml:space="preserve">matplotlib</w:t>
            </w:r>
          </w:p>
        </w:tc>
        <w:tc>
          <w:tcPr>
            <w:tcW w:type="dxa" w:w="7160"/>
            <w:tcBorders>
              <w:top w:val="single" w:color="A8C4E0" w:sz="1"/>
              <w:left w:val="single" w:color="A8C4E0" w:sz="1"/>
              <w:bottom w:val="single" w:color="A8C4E0" w:sz="1"/>
              <w:right w:val="single" w:color="A8C4E0" w:sz="1"/>
            </w:tcBorders>
            <w:shd w:fill="F3F8FD" w:val="clear"/>
            <w:tcMar>
              <w:top w:type="dxa" w:w="80"/>
              <w:left w:type="dxa" w:w="140"/>
              <w:bottom w:type="dxa" w:w="80"/>
              <w:right w:type="dxa" w:w="140"/>
            </w:tcMar>
          </w:tcPr>
          <w:p>
            <w:r>
              <w:rPr>
                <w:rFonts w:ascii="Arial" w:cs="Arial" w:eastAsia="Arial" w:hAnsi="Arial"/>
                <w:color w:val="2D2D2D"/>
                <w:sz w:val="20"/>
                <w:szCs w:val="20"/>
              </w:rPr>
              <w:t xml:space="preserve">Residual scatter plots and comparative coefficient visualization</w:t>
            </w:r>
          </w:p>
        </w:tc>
      </w:tr>
    </w:tbl>
    <w:p>
      <w:pPr>
        <w:spacing w:before="240" w:after="0"/>
      </w:pPr>
    </w:p>
    <w:p>
      <w:pPr>
        <w:pStyle w:val="Heading2"/>
        <w:pBdr>
          <w:bottom w:val="single" w:color="2E6DA4" w:sz="8" w:space="1"/>
        </w:pBdr>
        <w:spacing w:before="320" w:after="80"/>
      </w:pPr>
      <w:r>
        <w:rPr>
          <w:rFonts w:ascii="Arial" w:cs="Arial" w:eastAsia="Arial" w:hAnsi="Arial"/>
          <w:b/>
          <w:bCs/>
          <w:color w:val="1B3A6B"/>
          <w:sz w:val="26"/>
          <w:szCs w:val="26"/>
        </w:rPr>
        <w:t xml:space="preserve">Methodology</w:t>
      </w:r>
    </w:p>
    <w:p>
      <w:pPr>
        <w:spacing w:before="80" w:after="80"/>
      </w:pPr>
      <w:r>
        <w:rPr>
          <w:rFonts w:ascii="Arial" w:cs="Arial" w:eastAsia="Arial" w:hAnsi="Arial"/>
          <w:color w:val="2D2D2D"/>
          <w:sz w:val="22"/>
          <w:szCs w:val="22"/>
        </w:rPr>
        <w:t xml:space="preserve">The analysis proceeds through four sequential stages:</w:t>
      </w:r>
    </w:p>
    <w:p>
      <w:pPr>
        <w:spacing w:before="60" w:after="0"/>
      </w:pPr>
    </w:p>
    <w:p>
      <w:pPr>
        <w:spacing w:before="80" w:after="40"/>
      </w:pPr>
      <w:r>
        <w:rPr>
          <w:rFonts w:ascii="Arial" w:cs="Arial" w:eastAsia="Arial" w:hAnsi="Arial"/>
          <w:color w:val="2D2D2D"/>
          <w:sz w:val="22"/>
          <w:szCs w:val="22"/>
        </w:rPr>
        <w:t xml:space="preserve">Stage 1 — Bivariate Baseline (Establishing OVB)</w:t>
      </w:r>
    </w:p>
    <w:p>
      <w:pPr>
        <w:pStyle w:val="ListParagraph"/>
        <w:numPr>
          <w:ilvl w:val="0"/>
          <w:numId w:val="2"/>
        </w:numPr>
        <w:spacing w:before="60" w:after="60"/>
      </w:pPr>
      <w:r>
        <w:rPr>
          <w:rFonts w:ascii="Arial" w:cs="Arial" w:eastAsia="Arial" w:hAnsi="Arial"/>
          <w:color w:val="2D2D2D"/>
          <w:sz w:val="22"/>
          <w:szCs w:val="22"/>
        </w:rPr>
        <w:t xml:space="preserve">Estimated a simple OLS regression of Sale_Price on Property_Age alone</w:t>
      </w:r>
    </w:p>
    <w:p>
      <w:pPr>
        <w:pStyle w:val="ListParagraph"/>
        <w:numPr>
          <w:ilvl w:val="0"/>
          <w:numId w:val="2"/>
        </w:numPr>
        <w:spacing w:before="60" w:after="60"/>
      </w:pPr>
      <w:r>
        <w:rPr>
          <w:rFonts w:ascii="Arial" w:cs="Arial" w:eastAsia="Arial" w:hAnsi="Arial"/>
          <w:color w:val="2D2D2D"/>
          <w:sz w:val="22"/>
          <w:szCs w:val="22"/>
        </w:rPr>
        <w:t xml:space="preserve">Recorded the naive β₁ coefficient as the bivariate benchmark subject to confounding</w:t>
      </w:r>
    </w:p>
    <w:p>
      <w:pPr>
        <w:spacing w:before="80" w:after="0"/>
      </w:pPr>
    </w:p>
    <w:p>
      <w:pPr>
        <w:spacing w:before="80" w:after="40"/>
      </w:pPr>
      <w:r>
        <w:rPr>
          <w:rFonts w:ascii="Arial" w:cs="Arial" w:eastAsia="Arial" w:hAnsi="Arial"/>
          <w:color w:val="2D2D2D"/>
          <w:sz w:val="22"/>
          <w:szCs w:val="22"/>
        </w:rPr>
        <w:t xml:space="preserve">Stage 2 — Multivariate OLS (Full Model)</w:t>
      </w:r>
    </w:p>
    <w:p>
      <w:pPr>
        <w:pStyle w:val="ListParagraph"/>
        <w:numPr>
          <w:ilvl w:val="0"/>
          <w:numId w:val="2"/>
        </w:numPr>
        <w:spacing w:before="60" w:after="60"/>
      </w:pPr>
      <w:r>
        <w:rPr>
          <w:rFonts w:ascii="Arial" w:cs="Arial" w:eastAsia="Arial" w:hAnsi="Arial"/>
          <w:color w:val="2D2D2D"/>
          <w:sz w:val="22"/>
          <w:szCs w:val="22"/>
        </w:rPr>
        <w:t xml:space="preserve">Augmented the model with Distance_to_Tech_Hub as a second regressor</w:t>
      </w:r>
    </w:p>
    <w:p>
      <w:pPr>
        <w:pStyle w:val="ListParagraph"/>
        <w:numPr>
          <w:ilvl w:val="0"/>
          <w:numId w:val="2"/>
        </w:numPr>
        <w:spacing w:before="60" w:after="60"/>
      </w:pPr>
      <w:r>
        <w:rPr>
          <w:rFonts w:ascii="Arial" w:cs="Arial" w:eastAsia="Arial" w:hAnsi="Arial"/>
          <w:color w:val="2D2D2D"/>
          <w:sz w:val="22"/>
          <w:szCs w:val="22"/>
        </w:rPr>
        <w:t xml:space="preserve">Extracted the multivariate β₁ coefficient, representing the conditional effect of Property_Age holding proximity constant</w:t>
      </w:r>
    </w:p>
    <w:p>
      <w:pPr>
        <w:pStyle w:val="ListParagraph"/>
        <w:numPr>
          <w:ilvl w:val="0"/>
          <w:numId w:val="2"/>
        </w:numPr>
        <w:spacing w:before="60" w:after="60"/>
      </w:pPr>
      <w:r>
        <w:rPr>
          <w:rFonts w:ascii="Arial" w:cs="Arial" w:eastAsia="Arial" w:hAnsi="Arial"/>
          <w:color w:val="2D2D2D"/>
          <w:sz w:val="22"/>
          <w:szCs w:val="22"/>
        </w:rPr>
        <w:t xml:space="preserve">Quantified OVB magnitude as the difference between the two β₁ estimates</w:t>
      </w:r>
    </w:p>
    <w:p>
      <w:pPr>
        <w:spacing w:before="80" w:after="0"/>
      </w:pPr>
    </w:p>
    <w:p>
      <w:pPr>
        <w:spacing w:before="80" w:after="40"/>
      </w:pPr>
      <w:r>
        <w:rPr>
          <w:rFonts w:ascii="Arial" w:cs="Arial" w:eastAsia="Arial" w:hAnsi="Arial"/>
          <w:color w:val="2D2D2D"/>
          <w:sz w:val="22"/>
          <w:szCs w:val="22"/>
        </w:rPr>
        <w:t xml:space="preserve">Stage 3 — Manual FWL Residual Extraction</w:t>
      </w:r>
    </w:p>
    <w:p>
      <w:pPr>
        <w:pStyle w:val="ListParagraph"/>
        <w:numPr>
          <w:ilvl w:val="0"/>
          <w:numId w:val="2"/>
        </w:numPr>
        <w:spacing w:before="60" w:after="60"/>
      </w:pPr>
      <w:r>
        <w:rPr>
          <w:rFonts w:ascii="Arial" w:cs="Arial" w:eastAsia="Arial" w:hAnsi="Arial"/>
          <w:color w:val="2D2D2D"/>
          <w:sz w:val="22"/>
          <w:szCs w:val="22"/>
        </w:rPr>
        <w:t xml:space="preserve">Step 1: Regressed Property_Age on Distance_to_Tech_Hub; retained residuals M₁ — the component of age orthogonal to proximity</w:t>
      </w:r>
    </w:p>
    <w:p>
      <w:pPr>
        <w:pStyle w:val="ListParagraph"/>
        <w:numPr>
          <w:ilvl w:val="0"/>
          <w:numId w:val="2"/>
        </w:numPr>
        <w:spacing w:before="60" w:after="60"/>
      </w:pPr>
      <w:r>
        <w:rPr>
          <w:rFonts w:ascii="Arial" w:cs="Arial" w:eastAsia="Arial" w:hAnsi="Arial"/>
          <w:color w:val="2D2D2D"/>
          <w:sz w:val="22"/>
          <w:szCs w:val="22"/>
        </w:rPr>
        <w:t xml:space="preserve">Step 2: Regressed Sale_Price on Distance_to_Tech_Hub; retained residuals M₂ — the component of price orthogonal to proximity</w:t>
      </w:r>
    </w:p>
    <w:p>
      <w:pPr>
        <w:pStyle w:val="ListParagraph"/>
        <w:numPr>
          <w:ilvl w:val="0"/>
          <w:numId w:val="2"/>
        </w:numPr>
        <w:spacing w:before="60" w:after="60"/>
      </w:pPr>
      <w:r>
        <w:rPr>
          <w:rFonts w:ascii="Arial" w:cs="Arial" w:eastAsia="Arial" w:hAnsi="Arial"/>
          <w:color w:val="2D2D2D"/>
          <w:sz w:val="22"/>
          <w:szCs w:val="22"/>
        </w:rPr>
        <w:t xml:space="preserve">Step 3: Regressed M₂ on M₁ to recover the partialled-out slope; this isolates the pure age effect free of shared covariance</w:t>
      </w:r>
    </w:p>
    <w:p>
      <w:pPr>
        <w:spacing w:before="80" w:after="0"/>
      </w:pPr>
    </w:p>
    <w:p>
      <w:pPr>
        <w:spacing w:before="80" w:after="40"/>
      </w:pPr>
      <w:r>
        <w:rPr>
          <w:rFonts w:ascii="Arial" w:cs="Arial" w:eastAsia="Arial" w:hAnsi="Arial"/>
          <w:color w:val="2D2D2D"/>
          <w:sz w:val="22"/>
          <w:szCs w:val="22"/>
        </w:rPr>
        <w:t xml:space="preserve">Stage 4 — Algebraic Verification</w:t>
      </w:r>
    </w:p>
    <w:p>
      <w:pPr>
        <w:pStyle w:val="ListParagraph"/>
        <w:numPr>
          <w:ilvl w:val="0"/>
          <w:numId w:val="2"/>
        </w:numPr>
        <w:spacing w:before="60" w:after="60"/>
      </w:pPr>
      <w:r>
        <w:rPr>
          <w:rFonts w:ascii="Arial" w:cs="Arial" w:eastAsia="Arial" w:hAnsi="Arial"/>
          <w:color w:val="2D2D2D"/>
          <w:sz w:val="22"/>
          <w:szCs w:val="22"/>
        </w:rPr>
        <w:t xml:space="preserve">Compared the FWL-derived coefficient against the multivariate OLS coefficient to confirm numerical identity</w:t>
      </w:r>
    </w:p>
    <w:p>
      <w:pPr>
        <w:pStyle w:val="ListParagraph"/>
        <w:numPr>
          <w:ilvl w:val="0"/>
          <w:numId w:val="2"/>
        </w:numPr>
        <w:spacing w:before="60" w:after="60"/>
      </w:pPr>
      <w:r>
        <w:rPr>
          <w:rFonts w:ascii="Arial" w:cs="Arial" w:eastAsia="Arial" w:hAnsi="Arial"/>
          <w:color w:val="2D2D2D"/>
          <w:sz w:val="22"/>
          <w:szCs w:val="22"/>
        </w:rPr>
        <w:t xml:space="preserve">Demonstrated that the OLS algorithm internally performs this orthogonalization automatically via the projection geometry of the normal equations</w:t>
      </w:r>
    </w:p>
    <w:p>
      <w:pPr>
        <w:spacing w:before="160" w:after="0"/>
      </w:pPr>
    </w:p>
    <w:p>
      <w:pPr>
        <w:pStyle w:val="Heading2"/>
        <w:pBdr>
          <w:bottom w:val="single" w:color="2E6DA4" w:sz="8" w:space="1"/>
        </w:pBdr>
        <w:spacing w:before="320" w:after="80"/>
      </w:pPr>
      <w:r>
        <w:rPr>
          <w:rFonts w:ascii="Arial" w:cs="Arial" w:eastAsia="Arial" w:hAnsi="Arial"/>
          <w:b/>
          <w:bCs/>
          <w:color w:val="1B3A6B"/>
          <w:sz w:val="26"/>
          <w:szCs w:val="26"/>
        </w:rPr>
        <w:t xml:space="preserve">Key Findings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6DA4" w:sz="12"/>
              <w:left w:val="single" w:color="1B3A6B" w:sz="24"/>
              <w:bottom w:val="single" w:color="2E6DA4" w:sz="12"/>
              <w:right w:val="none"/>
            </w:tcBorders>
            <w:shd w:fill="EEF4FB" w:val="clear"/>
            <w:tcMar>
              <w:top w:type="dxa" w:w="120"/>
              <w:left w:type="dxa" w:w="200"/>
              <w:bottom w:type="dxa" w:w="120"/>
              <w:right w:type="dxa" w:w="160"/>
            </w:tcMar>
          </w:tcPr>
          <w:p>
            <w:pPr>
              <w:spacing w:before="0" w:after="40"/>
            </w:pPr>
            <w:r>
              <w:rPr>
                <w:rFonts w:ascii="Arial" w:cs="Arial" w:eastAsia="Arial" w:hAnsi="Arial"/>
                <w:b/>
                <w:bCs/>
                <w:color w:val="1B3A6B"/>
                <w:sz w:val="22"/>
                <w:szCs w:val="22"/>
              </w:rPr>
              <w:t xml:space="preserve">Omitted Variable Bias: </w:t>
            </w:r>
          </w:p>
          <w:p>
            <w:r>
              <w:rPr>
                <w:rFonts w:ascii="Arial" w:cs="Arial" w:eastAsia="Arial" w:hAnsi="Arial"/>
                <w:color w:val="2D2D2D"/>
                <w:sz w:val="21"/>
                <w:szCs w:val="21"/>
              </w:rPr>
              <w:t xml:space="preserve">Exclusion of Distance_to_Tech_Hub from the bivariate model generated severe upward OVB on the Property_Age coefficient. Because older properties in the dataset disproportionately cluster farther from tech employment centers, the naive model incorrectly attributed a portion of the location discount to the physical age of the asset—inflating its apparent depreciation signal. The contamination was not marginal: the bivariate estimate materially overstated the age penalty relative to the conditional multivariate estimate.</w:t>
            </w:r>
          </w:p>
        </w:tc>
      </w:tr>
    </w:tbl>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9E6E" w:sz="12"/>
              <w:left w:val="single" w:color="1A7A50" w:sz="24"/>
              <w:bottom w:val="single" w:color="2E9E6E" w:sz="12"/>
              <w:right w:val="none"/>
            </w:tcBorders>
            <w:shd w:fill="EEF8F2" w:val="clear"/>
            <w:tcMar>
              <w:top w:type="dxa" w:w="120"/>
              <w:left w:type="dxa" w:w="200"/>
              <w:bottom w:type="dxa" w:w="120"/>
              <w:right w:type="dxa" w:w="160"/>
            </w:tcMar>
          </w:tcPr>
          <w:p>
            <w:pPr>
              <w:spacing w:before="0" w:after="40"/>
            </w:pPr>
            <w:r>
              <w:rPr>
                <w:rFonts w:ascii="Arial" w:cs="Arial" w:eastAsia="Arial" w:hAnsi="Arial"/>
                <w:b/>
                <w:bCs/>
                <w:color w:val="1A5C3A"/>
                <w:sz w:val="22"/>
                <w:szCs w:val="22"/>
              </w:rPr>
              <w:t xml:space="preserve">FWL Theorem Proof — Exact Coefficient Identity: </w:t>
            </w:r>
          </w:p>
          <w:p>
            <w:r>
              <w:rPr>
                <w:rFonts w:ascii="Arial" w:cs="Arial" w:eastAsia="Arial" w:hAnsi="Arial"/>
                <w:color w:val="1E3A2A"/>
                <w:sz w:val="21"/>
                <w:szCs w:val="21"/>
              </w:rPr>
              <w:t xml:space="preserve">Manual residual extraction via the three-step FWL procedure produced a coefficient on the partialled-out age residuals (M₁) that matched the multivariate OLS estimate to full floating-point precision. This confirms the theorem’s core assertion: OLS does not merely approximate the partial effect—it computes it exactly by implicitly solving the same orthogonal projection that the manual procedure performs explicitly. The result constitutes a computational proof of algorithmic ceteris paribus.</w:t>
            </w:r>
          </w:p>
        </w:tc>
      </w:tr>
    </w:tbl>
    <w:p>
      <w:pPr>
        <w:spacing w:before="160" w:after="0"/>
      </w:pPr>
    </w:p>
    <w:p>
      <w:pPr>
        <w:spacing w:before="80" w:after="40"/>
      </w:pPr>
      <w:r>
        <w:rPr>
          <w:rFonts w:ascii="Arial" w:cs="Arial" w:eastAsia="Arial" w:hAnsi="Arial"/>
          <w:color w:val="2D2D2D"/>
          <w:sz w:val="22"/>
          <w:szCs w:val="22"/>
        </w:rPr>
        <w:t xml:space="preserve">Additional observations:</w:t>
      </w:r>
    </w:p>
    <w:p>
      <w:pPr>
        <w:pStyle w:val="ListParagraph"/>
        <w:numPr>
          <w:ilvl w:val="0"/>
          <w:numId w:val="2"/>
        </w:numPr>
        <w:spacing w:before="60" w:after="60"/>
      </w:pPr>
      <w:r>
        <w:rPr>
          <w:rFonts w:ascii="Arial" w:cs="Arial" w:eastAsia="Arial" w:hAnsi="Arial"/>
          <w:color w:val="2D2D2D"/>
          <w:sz w:val="22"/>
          <w:szCs w:val="22"/>
        </w:rPr>
        <w:t xml:space="preserve">The R² improvement from bivariate to multivariate model confirmed that Distance_to_Tech_Hub carries substantial independent explanatory power over Sale_Price</w:t>
      </w:r>
    </w:p>
    <w:p>
      <w:pPr>
        <w:pStyle w:val="ListParagraph"/>
        <w:numPr>
          <w:ilvl w:val="0"/>
          <w:numId w:val="2"/>
        </w:numPr>
        <w:spacing w:before="60" w:after="60"/>
      </w:pPr>
      <w:r>
        <w:rPr>
          <w:rFonts w:ascii="Arial" w:cs="Arial" w:eastAsia="Arial" w:hAnsi="Arial"/>
          <w:color w:val="2D2D2D"/>
          <w:sz w:val="22"/>
          <w:szCs w:val="22"/>
        </w:rPr>
        <w:t xml:space="preserve">Residual scatter plots from Stage 3 exhibited the expected zero-correlation structure, visually confirming orthogonality between M₁ and Distance_to_Tech_Hub</w:t>
      </w:r>
    </w:p>
    <w:p>
      <w:pPr>
        <w:pStyle w:val="ListParagraph"/>
        <w:numPr>
          <w:ilvl w:val="0"/>
          <w:numId w:val="2"/>
        </w:numPr>
        <w:spacing w:before="60" w:after="60"/>
      </w:pPr>
      <w:r>
        <w:rPr>
          <w:rFonts w:ascii="Arial" w:cs="Arial" w:eastAsia="Arial" w:hAnsi="Arial"/>
          <w:color w:val="2D2D2D"/>
          <w:sz w:val="22"/>
          <w:szCs w:val="22"/>
        </w:rPr>
        <w:t xml:space="preserve">The exercise illustrates why hedonic pricing models in applied real estate econometrics must control for location-based amenity access—failure to do so systematically biases structural attributes such as age, size, and condition</w:t>
      </w:r>
    </w:p>
    <w:p>
      <w:pPr>
        <w:spacing w:before="240" w:after="0"/>
      </w:pPr>
    </w:p>
    <w:p>
      <w:pPr>
        <w:pBdr>
          <w:bottom w:val="single" w:color="2E6DA4" w:sz="6" w:space="1"/>
        </w:pBdr>
        <w:spacing w:before="0" w:after="80"/>
      </w:pPr>
      <w:r>
        <w:rPr>
          <w:sz w:val="20"/>
          <w:szCs w:val="20"/>
        </w:rPr>
        <w:t xml:space="preserve"/>
      </w:r>
    </w:p>
    <w:p>
      <w:pPr>
        <w:spacing w:before="60" w:after="0"/>
        <w:jc w:val="center"/>
      </w:pPr>
      <w:r>
        <w:rPr>
          <w:rFonts w:ascii="Arial" w:cs="Arial" w:eastAsia="Arial" w:hAnsi="Arial"/>
          <w:i/>
          <w:iCs/>
          <w:color w:val="8899AA"/>
          <w:sz w:val="18"/>
          <w:szCs w:val="18"/>
        </w:rPr>
        <w:t xml:space="preserve">Econometrics Lab Report • California Real Estate Dataset • 2026</w:t>
      </w:r>
    </w:p>
    <w:sectPr>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0" w:after="200"/>
      <w:outlineLvl w:val="0"/>
    </w:pPr>
    <w:rPr>
      <w:rFonts w:ascii="Arial" w:cs="Arial" w:eastAsia="Arial" w:hAnsi="Arial"/>
      <w:b/>
      <w:bCs/>
      <w:color w:val="1B3A6B"/>
      <w:sz w:val="36"/>
      <w:szCs w:val="36"/>
    </w:rPr>
  </w:style>
  <w:style w:type="paragraph" w:styleId="Heading2">
    <w:name w:val="Heading 2"/>
    <w:basedOn w:val="Normal"/>
    <w:next w:val="Normal"/>
    <w:qFormat/>
    <w:pPr>
      <w:spacing w:before="320" w:after="80"/>
      <w:outlineLvl w:val="1"/>
    </w:pPr>
    <w:rPr>
      <w:rFonts w:ascii="Arial" w:cs="Arial" w:eastAsia="Arial" w:hAnsi="Arial"/>
      <w:b/>
      <w:bCs/>
      <w:color w:val="1B3A6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2026-03-13T18:45:10.429Z</dcterms:created>
  <dcterms:modified xsi:type="dcterms:W3CDTF">2026-03-13T18:45:10.430Z</dcterms:modified>
</cp:coreProperties>
</file>

<file path=docProps/custom.xml><?xml version="1.0" encoding="utf-8"?>
<Properties xmlns="http://schemas.openxmlformats.org/officeDocument/2006/custom-properties" xmlns:vt="http://schemas.openxmlformats.org/officeDocument/2006/docPropsVTypes"/>
</file>