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3D61"/>
        </w:rPr>
        <w:t>Global E-Scooter Micro-Mobility Market Research Report</w:t>
      </w:r>
    </w:p>
    <w:p>
      <w:r>
        <w:br w:type="page"/>
      </w:r>
    </w:p>
    <w:p>
      <w:pPr>
        <w:pStyle w:val="Heading2"/>
      </w:pPr>
      <w:r>
        <w:rPr>
          <w:color w:val="0B3D61"/>
        </w:rPr>
        <w:t>1. Executive Summary</w:t>
      </w:r>
    </w:p>
    <w:p>
      <w:r>
        <w:rPr>
          <w:sz w:val="21"/>
        </w:rPr>
        <w:t>Headline finding. The global micro-mobility market is projected to grow by USD 130.47 billion between 2024 and 2028, at a compound annual growth rate of 23.31%, with Asia-Pacific contributing the largest share of that growth at 51% [2]. Within this, the narrower e-scooter sharing segment generated approximately USD 925.50 million in 2023 and is projected to compound at roughly 20% annually to USD 5.73 billion by 2033 [3]. Europe is the dominant revenue region, accounting for approximately 65% of e-scooter sharing revenue in 2023 [3], yet it is simultaneously the region tightening regulation fastest in response to safety and public-space concerns. Opportunity for the client. A European mobility brand seeking entry into underserved mid-size cities is positioned to exploit a specific structural gap: the industry-wide consolidation of 2022–2024 removed marginal operators from dozens of secondary European cities, while the surviving global operators concentrated capital on saturated top-tier metros. The resulting whitespace is real, but it is not permission-free — it is permission-gated. Cities that will grant operating permits are those that can be convinced that a well-regulated, safety-focused, parking-disciplined entrant serves their public interest. Core recommendation. Enter on a permission-first, station-bound-or-hybrid model in three to five mid-size European cities, anchor revenue in subscription products rather than per-ride transactions, and build regulatory compliance as a defensible capability rather than a cost centre. Treat Latin America as an ownership-and-distribution play for a later phase, Asia-Pacific as a partnership or licensing target, and the United Kingdom as a regulatory watchlist market only.</w:t>
      </w:r>
    </w:p>
    <w:tbl>
      <w:tblPr>
        <w:tblStyle w:val="LightGrid-Accent1"/>
        <w:tblW w:type="auto" w:w="0"/>
        <w:tblLook w:firstColumn="1" w:firstRow="1" w:lastColumn="0" w:lastRow="0" w:noHBand="0" w:noVBand="1" w:val="04A0"/>
      </w:tblPr>
      <w:tblGrid>
        <w:gridCol w:w="4802"/>
        <w:gridCol w:w="4802"/>
      </w:tblGrid>
      <w:tr>
        <w:tc>
          <w:tcPr>
            <w:tcW w:type="dxa" w:w="4802"/>
          </w:tcPr>
          <w:p>
            <w:r>
              <w:rPr>
                <w:b/>
                <w:sz w:val="17"/>
              </w:rPr>
              <w:t>Summary of key verified figures</w:t>
            </w:r>
          </w:p>
        </w:tc>
        <w:tc>
          <w:tcPr>
            <w:tcW w:type="dxa" w:w="4802"/>
          </w:tcPr>
          <w:p>
            <w:r>
              <w:rPr>
                <w:b/>
                <w:sz w:val="17"/>
              </w:rPr>
            </w:r>
          </w:p>
        </w:tc>
      </w:tr>
      <w:tr>
        <w:tc>
          <w:tcPr>
            <w:tcW w:type="dxa" w:w="4802"/>
          </w:tcPr>
          <w:p>
            <w:r>
              <w:rPr>
                <w:sz w:val="17"/>
              </w:rPr>
              <w:t>Micro-mobility absolute market growth, 2024–2028</w:t>
            </w:r>
          </w:p>
        </w:tc>
        <w:tc>
          <w:tcPr>
            <w:tcW w:type="dxa" w:w="4802"/>
          </w:tcPr>
          <w:p>
            <w:r>
              <w:rPr>
                <w:sz w:val="17"/>
              </w:rPr>
              <w:t>+USD 130.47 billion [2]</w:t>
            </w:r>
          </w:p>
        </w:tc>
      </w:tr>
      <w:tr>
        <w:tc>
          <w:tcPr>
            <w:tcW w:type="dxa" w:w="4802"/>
          </w:tcPr>
          <w:p>
            <w:r>
              <w:rPr>
                <w:sz w:val="17"/>
              </w:rPr>
              <w:t>Micro-mobility CAGR, 2024–2028</w:t>
            </w:r>
          </w:p>
        </w:tc>
        <w:tc>
          <w:tcPr>
            <w:tcW w:type="dxa" w:w="4802"/>
          </w:tcPr>
          <w:p>
            <w:r>
              <w:rPr>
                <w:sz w:val="17"/>
              </w:rPr>
              <w:t>23.31% [2]</w:t>
            </w:r>
          </w:p>
        </w:tc>
      </w:tr>
      <w:tr>
        <w:tc>
          <w:tcPr>
            <w:tcW w:type="dxa" w:w="4802"/>
          </w:tcPr>
          <w:p>
            <w:r>
              <w:rPr>
                <w:sz w:val="17"/>
              </w:rPr>
              <w:t>Asia-Pacific share of global micro-mobility growth</w:t>
            </w:r>
          </w:p>
        </w:tc>
        <w:tc>
          <w:tcPr>
            <w:tcW w:type="dxa" w:w="4802"/>
          </w:tcPr>
          <w:p>
            <w:r>
              <w:rPr>
                <w:sz w:val="17"/>
              </w:rPr>
              <w:t>51% [2]</w:t>
            </w:r>
          </w:p>
        </w:tc>
      </w:tr>
      <w:tr>
        <w:tc>
          <w:tcPr>
            <w:tcW w:type="dxa" w:w="4802"/>
          </w:tcPr>
          <w:p>
            <w:r>
              <w:rPr>
                <w:sz w:val="17"/>
              </w:rPr>
              <w:t>E-scooter sharing revenue, 2023</w:t>
            </w:r>
          </w:p>
        </w:tc>
        <w:tc>
          <w:tcPr>
            <w:tcW w:type="dxa" w:w="4802"/>
          </w:tcPr>
          <w:p>
            <w:r>
              <w:rPr>
                <w:sz w:val="17"/>
              </w:rPr>
              <w:t>USD 925.50 million [3]</w:t>
            </w:r>
          </w:p>
        </w:tc>
      </w:tr>
      <w:tr>
        <w:tc>
          <w:tcPr>
            <w:tcW w:type="dxa" w:w="4802"/>
          </w:tcPr>
          <w:p>
            <w:r>
              <w:rPr>
                <w:sz w:val="17"/>
              </w:rPr>
              <w:t>E-scooter sharing CAGR, 2024–2033</w:t>
            </w:r>
          </w:p>
        </w:tc>
        <w:tc>
          <w:tcPr>
            <w:tcW w:type="dxa" w:w="4802"/>
          </w:tcPr>
          <w:p>
            <w:r>
              <w:rPr>
                <w:sz w:val="17"/>
              </w:rPr>
              <w:t>20.0% [3]</w:t>
            </w:r>
          </w:p>
        </w:tc>
      </w:tr>
      <w:tr>
        <w:tc>
          <w:tcPr>
            <w:tcW w:type="dxa" w:w="4802"/>
          </w:tcPr>
          <w:p>
            <w:r>
              <w:rPr>
                <w:sz w:val="17"/>
              </w:rPr>
              <w:t>Europe share of e-scooter sharing revenue, 2023</w:t>
            </w:r>
          </w:p>
        </w:tc>
        <w:tc>
          <w:tcPr>
            <w:tcW w:type="dxa" w:w="4802"/>
          </w:tcPr>
          <w:p>
            <w:r>
              <w:rPr>
                <w:sz w:val="17"/>
              </w:rPr>
              <w:t>~65% [3]</w:t>
            </w:r>
          </w:p>
        </w:tc>
      </w:tr>
      <w:tr>
        <w:tc>
          <w:tcPr>
            <w:tcW w:type="dxa" w:w="4802"/>
          </w:tcPr>
          <w:p>
            <w:r>
              <w:rPr>
                <w:sz w:val="17"/>
              </w:rPr>
              <w:t>Free-floating share of e-scooter sharing segment</w:t>
            </w:r>
          </w:p>
        </w:tc>
        <w:tc>
          <w:tcPr>
            <w:tcW w:type="dxa" w:w="4802"/>
          </w:tcPr>
          <w:p>
            <w:r>
              <w:rPr>
                <w:sz w:val="17"/>
              </w:rPr>
              <w:t>~95% [3]</w:t>
            </w:r>
          </w:p>
        </w:tc>
      </w:tr>
      <w:tr>
        <w:tc>
          <w:tcPr>
            <w:tcW w:type="dxa" w:w="4802"/>
          </w:tcPr>
          <w:p>
            <w:r>
              <w:rPr>
                <w:sz w:val="17"/>
              </w:rPr>
              <w:t>Micro-mobility market size, broad scope, 2024</w:t>
            </w:r>
          </w:p>
        </w:tc>
        <w:tc>
          <w:tcPr>
            <w:tcW w:type="dxa" w:w="4802"/>
          </w:tcPr>
          <w:p>
            <w:r>
              <w:rPr>
                <w:sz w:val="17"/>
              </w:rPr>
              <w:t>~USD 3.6 billion [4]</w:t>
            </w:r>
          </w:p>
        </w:tc>
      </w:tr>
      <w:tr>
        <w:tc>
          <w:tcPr>
            <w:tcW w:type="dxa" w:w="4802"/>
          </w:tcPr>
          <w:p>
            <w:r>
              <w:rPr>
                <w:sz w:val="17"/>
              </w:rPr>
              <w:t>Latin America electric scooter market, 2024 → 2033</w:t>
            </w:r>
          </w:p>
        </w:tc>
        <w:tc>
          <w:tcPr>
            <w:tcW w:type="dxa" w:w="4802"/>
          </w:tcPr>
          <w:p>
            <w:r>
              <w:rPr>
                <w:sz w:val="17"/>
              </w:rPr>
              <w:t>USD 2.45 bn → USD 5.59 bn, 9.60% CAGR [7]</w:t>
            </w:r>
          </w:p>
        </w:tc>
      </w:tr>
    </w:tbl>
    <w:p/>
    <w:p>
      <w:pPr>
        <w:pStyle w:val="Heading2"/>
      </w:pPr>
      <w:r>
        <w:rPr>
          <w:color w:val="0B3D61"/>
        </w:rPr>
        <w:t>2. Introduction &amp; Research Methodology</w:t>
      </w:r>
    </w:p>
    <w:p>
      <w:pPr>
        <w:pStyle w:val="Heading3"/>
      </w:pPr>
      <w:r>
        <w:rPr>
          <w:color w:val="145A8C"/>
        </w:rPr>
        <w:t>2.1 Purpose and client context</w:t>
      </w:r>
    </w:p>
    <w:p>
      <w:r>
        <w:rPr>
          <w:sz w:val="21"/>
        </w:rPr>
        <w:t>This report has been prepared to inform the market-entry decision of a European mobility brand evaluating expansion into underserved mid-size cities. The client is not a start-up seeking a market; it is an established European operator or manufacturer with existing product, service and regulatory capability, seeking to extend its geographic reach into cities that fall below the attention threshold of the global shared-mobility majors. The decision this report supports is therefore not "should we enter micro-mobility" but "where, in what operating model, under what regulatory posture, and in what sequence."</w:t>
      </w:r>
    </w:p>
    <w:p>
      <w:pPr>
        <w:pStyle w:val="Heading3"/>
      </w:pPr>
      <w:r>
        <w:rPr>
          <w:color w:val="145A8C"/>
        </w:rPr>
        <w:t>2.2 Scope definition</w:t>
      </w:r>
    </w:p>
    <w:p>
      <w:r>
        <w:rPr>
          <w:sz w:val="21"/>
        </w:rPr>
        <w:t>The term micro-mobility is used inconsistently across industry literature, and a material part of this report's analytical work is making that inconsistency explicit rather than hiding it. Three nested scopes are used:</w:t>
      </w:r>
    </w:p>
    <w:p>
      <w:pPr>
        <w:pStyle w:val="ListBullet"/>
      </w:pPr>
      <w:r>
        <w:rPr>
          <w:sz w:val="21"/>
        </w:rPr>
        <w:t>Micro-mobility (broad). All light personal electric vehicles and their associated services, including e-bikes, e-scooters, e-kick scooters, electric skateboards and low-speed electric vehicles. This is the scope used by Technavio and by most market-sizing vendors, and it includes hardware sales as well as shared services. [2][4]</w:t>
      </w:r>
    </w:p>
    <w:p>
      <w:pPr>
        <w:pStyle w:val="ListBullet"/>
      </w:pPr>
      <w:r>
        <w:rPr>
          <w:sz w:val="21"/>
        </w:rPr>
        <w:t>E-scooter sharing (service). Operator revenue from free-floating and station-bound shared e-scooter fleets. This is the narrowest commercial scope and the one most relevant to a shared-service entrant. [3]</w:t>
      </w:r>
    </w:p>
    <w:p>
      <w:pPr>
        <w:pStyle w:val="ListBullet"/>
      </w:pPr>
      <w:r>
        <w:rPr>
          <w:sz w:val="21"/>
        </w:rPr>
        <w:t>Electric scooter (ownership). Unit sales of privately owned e-scooters. This scope dominates in Asia-Pacific and Latin America and is structurally different from sharing. [7][8]</w:t>
      </w:r>
    </w:p>
    <w:p>
      <w:r>
        <w:rPr>
          <w:sz w:val="21"/>
        </w:rPr>
        <w:t>Failure to distinguish these scopes is the single most common source of contradictory market-size claims in this industry. Estimates in this report are always labelled with their scope, and reconciliations are shown explicitly in Section 3.2.</w:t>
      </w:r>
    </w:p>
    <w:p>
      <w:pPr>
        <w:pStyle w:val="Heading3"/>
      </w:pPr>
      <w:r>
        <w:rPr>
          <w:color w:val="145A8C"/>
        </w:rPr>
        <w:t>2.3 Methodology</w:t>
      </w:r>
    </w:p>
    <w:p>
      <w:r>
        <w:rPr>
          <w:sz w:val="21"/>
        </w:rPr>
        <w:t>The research combines (a) secondary market research from established industry analysts, (b) primary regulatory sources published by European Union institutions and national authorities, and (c) systematic reconciliation of competing estimates. Where analyst estimates cover the same period but use different scope definitions, both figures are reported with their scope attached rather than averaged, because averaging across scopes produces a number that describes nothing real. Regional regulatory analysis relies on the European Commission's Urban Mobility Observatory, which catalogues national e-scooter legislation across member states. Consumer and adoption analysis draws on the operator and safety commentary within the same analyst corpus, cross-referenced against the EU Road Safety Charter's assessment of recent European reforms.</w:t>
      </w:r>
    </w:p>
    <w:p>
      <w:r>
        <w:rPr>
          <w:sz w:val="16"/>
        </w:rPr>
        <w:t>Limitation: granular year-over-year revenue data for 2019–2021 is not published at the scope granularity this report requires, because analyst coverage of e-scooter sharing as a distinct segment only matured in 2020–2021. This report therefore presents pre-2022 conditions as verified structural milestones rather than reconstructing point estimates that primary sources do not publish. Forecasts beyond 2024 are interpolations of cited CAGRs, labelled as such, and scenario analysis is the author's synthesis rather than any analyst's published projection.</w:t>
      </w:r>
    </w:p>
    <w:p>
      <w:r>
        <w:br w:type="page"/>
      </w:r>
    </w:p>
    <w:p>
      <w:pPr>
        <w:pStyle w:val="Heading2"/>
      </w:pPr>
      <w:r>
        <w:rPr>
          <w:color w:val="0B3D61"/>
        </w:rPr>
        <w:t>3. Global Market Size &amp; Growth Trends (2019–2024)</w:t>
      </w:r>
    </w:p>
    <w:p>
      <w:pPr>
        <w:pStyle w:val="Heading3"/>
      </w:pPr>
      <w:r>
        <w:rPr>
          <w:color w:val="145A8C"/>
        </w:rPr>
        <w:t>3.1 Origins and the consolidation wave</w:t>
      </w:r>
    </w:p>
    <w:p>
      <w:r>
        <w:rPr>
          <w:sz w:val="21"/>
        </w:rPr>
        <w:t>Shared e-scooters launched commercially in Santa Monica, California in 2018 and expanded with striking speed: within roughly two years, leading operators had entered more than 100 cities across almost every continent, logging millions of rides on shared e-scooters and bikes [1]. The regulatory vacuum that accompanied this growth was itself a driver — cities that acted early wrote permissive frameworks, and cities that acted late tended toward restriction, a pattern the EU Urban Mobility Observatory describes explicitly as latecomers adopting more restrictive approaches than early adopters [1].</w:t>
      </w:r>
    </w:p>
    <w:p>
      <w:r>
        <w:rPr>
          <w:sz w:val="21"/>
        </w:rPr>
        <w:t>The market then passed through three distinct phases. The expansion phase (2018–2019) was characterised by venture-funded fleet growth and permissive regulation. The consolidation phase (2020–2022) began with the pandemic's collapse of shared ridership, followed by a funding contraction that eliminated several large operators and forced survivors to merge or retreat. The discipline phase (2023–2024) is defined by a decisive shift toward unit economics: subscription models, fleet densification, docked deployment, and a general retreat from capital-spending in favour of profitability. Technavio records year-over-year micro-mobility growth of 18.59% for 2022–2023 [2], which is substantial growth delivered from a much smaller and far more concentrated operator base than in 2019.</w:t>
      </w:r>
    </w:p>
    <w:p>
      <w:pPr>
        <w:pStyle w:val="Heading3"/>
      </w:pPr>
      <w:r>
        <w:rPr>
          <w:color w:val="145A8C"/>
        </w:rPr>
        <w:t>3.2 Market sizing and estimate reconciliation</w:t>
      </w:r>
    </w:p>
    <w:p>
      <w:r>
        <w:rPr>
          <w:sz w:val="21"/>
        </w:rPr>
        <w:t>The three scopes produce figures that differ by an order of magnitude. The table below states each estimate with its scope attached, and this report uses the scope-matched figure for each analytical purpose rather than blending them.</w:t>
      </w:r>
    </w:p>
    <w:tbl>
      <w:tblPr>
        <w:tblStyle w:val="LightGrid-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7"/>
              </w:rPr>
              <w:t>Scope</w:t>
            </w:r>
          </w:p>
        </w:tc>
        <w:tc>
          <w:tcPr>
            <w:tcW w:type="dxa" w:w="1921"/>
          </w:tcPr>
          <w:p>
            <w:r>
              <w:rPr>
                <w:b/>
                <w:sz w:val="17"/>
              </w:rPr>
              <w:t>Baseline</w:t>
            </w:r>
          </w:p>
        </w:tc>
        <w:tc>
          <w:tcPr>
            <w:tcW w:type="dxa" w:w="1921"/>
          </w:tcPr>
          <w:p>
            <w:r>
              <w:rPr>
                <w:b/>
                <w:sz w:val="17"/>
              </w:rPr>
              <w:t>Forecast</w:t>
            </w:r>
          </w:p>
        </w:tc>
        <w:tc>
          <w:tcPr>
            <w:tcW w:type="dxa" w:w="1921"/>
          </w:tcPr>
          <w:p>
            <w:r>
              <w:rPr>
                <w:b/>
                <w:sz w:val="17"/>
              </w:rPr>
              <w:t>CAGR</w:t>
            </w:r>
          </w:p>
        </w:tc>
        <w:tc>
          <w:tcPr>
            <w:tcW w:type="dxa" w:w="1921"/>
          </w:tcPr>
          <w:p>
            <w:r>
              <w:rPr>
                <w:b/>
                <w:sz w:val="17"/>
              </w:rPr>
              <w:t>Source</w:t>
            </w:r>
          </w:p>
        </w:tc>
      </w:tr>
      <w:tr>
        <w:tc>
          <w:tcPr>
            <w:tcW w:type="dxa" w:w="1921"/>
          </w:tcPr>
          <w:p>
            <w:r>
              <w:rPr>
                <w:sz w:val="17"/>
              </w:rPr>
              <w:t>Micro-mobility, broad (all vehicles, all modes)</w:t>
            </w:r>
          </w:p>
        </w:tc>
        <w:tc>
          <w:tcPr>
            <w:tcW w:type="dxa" w:w="1921"/>
          </w:tcPr>
          <w:p>
            <w:r>
              <w:rPr>
                <w:sz w:val="17"/>
              </w:rPr>
              <w:t>2024: ~USD 3.6 bn</w:t>
            </w:r>
          </w:p>
        </w:tc>
        <w:tc>
          <w:tcPr>
            <w:tcW w:type="dxa" w:w="1921"/>
          </w:tcPr>
          <w:p>
            <w:r>
              <w:rPr>
                <w:sz w:val="17"/>
              </w:rPr>
              <w:t>2034: ~USD 11.9 bn</w:t>
            </w:r>
          </w:p>
        </w:tc>
        <w:tc>
          <w:tcPr>
            <w:tcW w:type="dxa" w:w="1921"/>
          </w:tcPr>
          <w:p>
            <w:r>
              <w:rPr>
                <w:sz w:val="17"/>
              </w:rPr>
              <w:t>12.7%</w:t>
            </w:r>
          </w:p>
        </w:tc>
        <w:tc>
          <w:tcPr>
            <w:tcW w:type="dxa" w:w="1921"/>
          </w:tcPr>
          <w:p>
            <w:r>
              <w:rPr>
                <w:sz w:val="17"/>
              </w:rPr>
              <w:t>Market.us [4]</w:t>
            </w:r>
          </w:p>
        </w:tc>
      </w:tr>
      <w:tr>
        <w:tc>
          <w:tcPr>
            <w:tcW w:type="dxa" w:w="1921"/>
          </w:tcPr>
          <w:p>
            <w:r>
              <w:rPr>
                <w:sz w:val="17"/>
              </w:rPr>
              <w:t>Micro-mobility, broad (absolute growth framing)</w:t>
            </w:r>
          </w:p>
        </w:tc>
        <w:tc>
          <w:tcPr>
            <w:tcW w:type="dxa" w:w="1921"/>
          </w:tcPr>
          <w:p>
            <w:r>
              <w:rPr>
                <w:sz w:val="17"/>
              </w:rPr>
              <w:t>2018–2022 historic</w:t>
            </w:r>
          </w:p>
        </w:tc>
        <w:tc>
          <w:tcPr>
            <w:tcW w:type="dxa" w:w="1921"/>
          </w:tcPr>
          <w:p>
            <w:r>
              <w:rPr>
                <w:sz w:val="17"/>
              </w:rPr>
              <w:t>+USD 130.47 bn added 2024–2028</w:t>
            </w:r>
          </w:p>
        </w:tc>
        <w:tc>
          <w:tcPr>
            <w:tcW w:type="dxa" w:w="1921"/>
          </w:tcPr>
          <w:p>
            <w:r>
              <w:rPr>
                <w:sz w:val="17"/>
              </w:rPr>
              <w:t>23.31%</w:t>
            </w:r>
          </w:p>
        </w:tc>
        <w:tc>
          <w:tcPr>
            <w:tcW w:type="dxa" w:w="1921"/>
          </w:tcPr>
          <w:p>
            <w:r>
              <w:rPr>
                <w:sz w:val="17"/>
              </w:rPr>
              <w:t>Technavio [2]</w:t>
            </w:r>
          </w:p>
        </w:tc>
      </w:tr>
      <w:tr>
        <w:tc>
          <w:tcPr>
            <w:tcW w:type="dxa" w:w="1921"/>
          </w:tcPr>
          <w:p>
            <w:r>
              <w:rPr>
                <w:sz w:val="17"/>
              </w:rPr>
              <w:t>E-scooter sharing, service revenue</w:t>
            </w:r>
          </w:p>
        </w:tc>
        <w:tc>
          <w:tcPr>
            <w:tcW w:type="dxa" w:w="1921"/>
          </w:tcPr>
          <w:p>
            <w:r>
              <w:rPr>
                <w:sz w:val="17"/>
              </w:rPr>
              <w:t>2023: USD 925.50 m</w:t>
            </w:r>
          </w:p>
        </w:tc>
        <w:tc>
          <w:tcPr>
            <w:tcW w:type="dxa" w:w="1921"/>
          </w:tcPr>
          <w:p>
            <w:r>
              <w:rPr>
                <w:sz w:val="17"/>
              </w:rPr>
              <w:t>2033: USD 5.73 bn</w:t>
            </w:r>
          </w:p>
        </w:tc>
        <w:tc>
          <w:tcPr>
            <w:tcW w:type="dxa" w:w="1921"/>
          </w:tcPr>
          <w:p>
            <w:r>
              <w:rPr>
                <w:sz w:val="17"/>
              </w:rPr>
              <w:t>20.0%</w:t>
            </w:r>
          </w:p>
        </w:tc>
        <w:tc>
          <w:tcPr>
            <w:tcW w:type="dxa" w:w="1921"/>
          </w:tcPr>
          <w:p>
            <w:r>
              <w:rPr>
                <w:sz w:val="17"/>
              </w:rPr>
              <w:t>Nova One Advisor [3]</w:t>
            </w:r>
          </w:p>
        </w:tc>
      </w:tr>
      <w:tr>
        <w:tc>
          <w:tcPr>
            <w:tcW w:type="dxa" w:w="1921"/>
          </w:tcPr>
          <w:p>
            <w:r>
              <w:rPr>
                <w:sz w:val="17"/>
              </w:rPr>
              <w:t>Latin America electric scooter, ownership</w:t>
            </w:r>
          </w:p>
        </w:tc>
        <w:tc>
          <w:tcPr>
            <w:tcW w:type="dxa" w:w="1921"/>
          </w:tcPr>
          <w:p>
            <w:r>
              <w:rPr>
                <w:sz w:val="17"/>
              </w:rPr>
              <w:t>2024: USD 2.45 bn</w:t>
            </w:r>
          </w:p>
        </w:tc>
        <w:tc>
          <w:tcPr>
            <w:tcW w:type="dxa" w:w="1921"/>
          </w:tcPr>
          <w:p>
            <w:r>
              <w:rPr>
                <w:sz w:val="17"/>
              </w:rPr>
              <w:t>2033: USD 5.59 bn</w:t>
            </w:r>
          </w:p>
        </w:tc>
        <w:tc>
          <w:tcPr>
            <w:tcW w:type="dxa" w:w="1921"/>
          </w:tcPr>
          <w:p>
            <w:r>
              <w:rPr>
                <w:sz w:val="17"/>
              </w:rPr>
              <w:t>9.60%</w:t>
            </w:r>
          </w:p>
        </w:tc>
        <w:tc>
          <w:tcPr>
            <w:tcW w:type="dxa" w:w="1921"/>
          </w:tcPr>
          <w:p>
            <w:r>
              <w:rPr>
                <w:sz w:val="17"/>
              </w:rPr>
              <w:t>IMARC [7]</w:t>
            </w:r>
          </w:p>
        </w:tc>
      </w:tr>
      <w:tr>
        <w:tc>
          <w:tcPr>
            <w:tcW w:type="dxa" w:w="1921"/>
          </w:tcPr>
          <w:p>
            <w:r>
              <w:rPr>
                <w:sz w:val="17"/>
              </w:rPr>
              <w:t>Latin America micro-mobility, broad</w:t>
            </w:r>
          </w:p>
        </w:tc>
        <w:tc>
          <w:tcPr>
            <w:tcW w:type="dxa" w:w="1921"/>
          </w:tcPr>
          <w:p>
            <w:r>
              <w:rPr>
                <w:sz w:val="17"/>
              </w:rPr>
              <w:t>—</w:t>
            </w:r>
          </w:p>
        </w:tc>
        <w:tc>
          <w:tcPr>
            <w:tcW w:type="dxa" w:w="1921"/>
          </w:tcPr>
          <w:p>
            <w:r>
              <w:rPr>
                <w:sz w:val="17"/>
              </w:rPr>
              <w:t>2033: USD 4.31 bn</w:t>
            </w:r>
          </w:p>
        </w:tc>
        <w:tc>
          <w:tcPr>
            <w:tcW w:type="dxa" w:w="1921"/>
          </w:tcPr>
          <w:p>
            <w:r>
              <w:rPr>
                <w:sz w:val="17"/>
              </w:rPr>
              <w:t>9.9%</w:t>
            </w:r>
          </w:p>
        </w:tc>
        <w:tc>
          <w:tcPr>
            <w:tcW w:type="dxa" w:w="1921"/>
          </w:tcPr>
          <w:p>
            <w:r>
              <w:rPr>
                <w:sz w:val="17"/>
              </w:rPr>
              <w:t>Grand View Research [5]</w:t>
            </w:r>
          </w:p>
        </w:tc>
      </w:tr>
      <w:tr>
        <w:tc>
          <w:tcPr>
            <w:tcW w:type="dxa" w:w="1921"/>
          </w:tcPr>
          <w:p>
            <w:r>
              <w:rPr>
                <w:sz w:val="17"/>
              </w:rPr>
              <w:t>Latin America e-scooter &amp; motorcycle</w:t>
            </w:r>
          </w:p>
        </w:tc>
        <w:tc>
          <w:tcPr>
            <w:tcW w:type="dxa" w:w="1921"/>
          </w:tcPr>
          <w:p>
            <w:r>
              <w:rPr>
                <w:sz w:val="17"/>
              </w:rPr>
              <w:t>—</w:t>
            </w:r>
          </w:p>
        </w:tc>
        <w:tc>
          <w:tcPr>
            <w:tcW w:type="dxa" w:w="1921"/>
          </w:tcPr>
          <w:p>
            <w:r>
              <w:rPr>
                <w:sz w:val="17"/>
              </w:rPr>
              <w:t>2031 horizon</w:t>
            </w:r>
          </w:p>
        </w:tc>
        <w:tc>
          <w:tcPr>
            <w:tcW w:type="dxa" w:w="1921"/>
          </w:tcPr>
          <w:p>
            <w:r>
              <w:rPr>
                <w:sz w:val="17"/>
              </w:rPr>
              <w:t>~7%</w:t>
            </w:r>
          </w:p>
        </w:tc>
        <w:tc>
          <w:tcPr>
            <w:tcW w:type="dxa" w:w="1921"/>
          </w:tcPr>
          <w:p>
            <w:r>
              <w:rPr>
                <w:sz w:val="17"/>
              </w:rPr>
              <w:t>6Wresearch [8]</w:t>
            </w:r>
          </w:p>
        </w:tc>
      </w:tr>
    </w:tbl>
    <w:p/>
    <w:p>
      <w:r>
        <w:rPr>
          <w:sz w:val="21"/>
        </w:rPr>
        <w:t>Reconciling the apparent contradiction. Technavio's 23.31% CAGR and Market.us's 12.7% CAGR are not in conflict once scope is understood. Technavio's figure describes the rate of absolute market expansion across a broad multi-vehicle, multi-region definition, and is the higher of the two because it captures hardware and services across emerging markets where unit volumes are large. Market.us's 12.7% describes a narrower, more mature aggregate. For a European shared-services entrant, the operative figure is the 20% e-scooter sharing CAGR [3], because that is the segment the client would actually compete in. The broader figures matter mainly as an indicator of the direction of travel in adjacent segments that may converge with the client's business over time.</w:t>
      </w:r>
    </w:p>
    <w:p>
      <w:pPr>
        <w:pStyle w:val="Heading3"/>
      </w:pPr>
      <w:r>
        <w:rPr>
          <w:color w:val="145A8C"/>
        </w:rPr>
        <w:t>3.3 Year-over-year conditions, 2019–2024</w:t>
      </w:r>
    </w:p>
    <w:tbl>
      <w:tblPr>
        <w:tblStyle w:val="LightGrid-Accent1"/>
        <w:tblW w:type="auto" w:w="0"/>
        <w:tblLook w:firstColumn="1" w:firstRow="1" w:lastColumn="0" w:lastRow="0" w:noHBand="0" w:noVBand="1" w:val="04A0"/>
      </w:tblPr>
      <w:tblGrid>
        <w:gridCol w:w="3202"/>
        <w:gridCol w:w="3202"/>
        <w:gridCol w:w="3202"/>
      </w:tblGrid>
      <w:tr>
        <w:tc>
          <w:tcPr>
            <w:tcW w:type="dxa" w:w="3202"/>
          </w:tcPr>
          <w:p>
            <w:r>
              <w:rPr>
                <w:b/>
                <w:sz w:val="17"/>
              </w:rPr>
              <w:t>Period</w:t>
            </w:r>
          </w:p>
        </w:tc>
        <w:tc>
          <w:tcPr>
            <w:tcW w:type="dxa" w:w="3202"/>
          </w:tcPr>
          <w:p>
            <w:r>
              <w:rPr>
                <w:b/>
                <w:sz w:val="17"/>
              </w:rPr>
              <w:t>Verified market conditions</w:t>
            </w:r>
          </w:p>
        </w:tc>
        <w:tc>
          <w:tcPr>
            <w:tcW w:type="dxa" w:w="3202"/>
          </w:tcPr>
          <w:p>
            <w:r>
              <w:rPr>
                <w:b/>
                <w:sz w:val="17"/>
              </w:rPr>
              <w:t>Structural consequence</w:t>
            </w:r>
          </w:p>
        </w:tc>
      </w:tr>
      <w:tr>
        <w:tc>
          <w:tcPr>
            <w:tcW w:type="dxa" w:w="3202"/>
          </w:tcPr>
          <w:p>
            <w:r>
              <w:rPr>
                <w:sz w:val="17"/>
              </w:rPr>
              <w:t>2019</w:t>
            </w:r>
          </w:p>
        </w:tc>
        <w:tc>
          <w:tcPr>
            <w:tcW w:type="dxa" w:w="3202"/>
          </w:tcPr>
          <w:p>
            <w:r>
              <w:rPr>
                <w:sz w:val="17"/>
              </w:rPr>
              <w:t>Rapid entry into 100+ cities; France, Germany, Italy and Belgium legislate e-scooters; Paris tenders up to three operators; first geofencing speed-limit experiments in US cities</w:t>
            </w:r>
          </w:p>
        </w:tc>
        <w:tc>
          <w:tcPr>
            <w:tcW w:type="dxa" w:w="3202"/>
          </w:tcPr>
          <w:p>
            <w:r>
              <w:rPr>
                <w:sz w:val="17"/>
              </w:rPr>
              <w:t>Permissive-first regulatory precedent set; the framework later hardened</w:t>
            </w:r>
          </w:p>
        </w:tc>
      </w:tr>
      <w:tr>
        <w:tc>
          <w:tcPr>
            <w:tcW w:type="dxa" w:w="3202"/>
          </w:tcPr>
          <w:p>
            <w:r>
              <w:rPr>
                <w:sz w:val="17"/>
              </w:rPr>
              <w:t>2020</w:t>
            </w:r>
          </w:p>
        </w:tc>
        <w:tc>
          <w:tcPr>
            <w:tcW w:type="dxa" w:w="3202"/>
          </w:tcPr>
          <w:p>
            <w:r>
              <w:rPr>
                <w:sz w:val="17"/>
              </w:rPr>
              <w:t>Pandemic collapses shared ridership; private e-scooter ownership demand rises; Italy publishes national rules; Malta introduces licensing after accident surge</w:t>
            </w:r>
          </w:p>
        </w:tc>
        <w:tc>
          <w:tcPr>
            <w:tcW w:type="dxa" w:w="3202"/>
          </w:tcPr>
          <w:p>
            <w:r>
              <w:rPr>
                <w:sz w:val="17"/>
              </w:rPr>
              <w:t>Ownership/sharing divergence begins; safety data starts accumulating</w:t>
            </w:r>
          </w:p>
        </w:tc>
      </w:tr>
      <w:tr>
        <w:tc>
          <w:tcPr>
            <w:tcW w:type="dxa" w:w="3202"/>
          </w:tcPr>
          <w:p>
            <w:r>
              <w:rPr>
                <w:sz w:val="17"/>
              </w:rPr>
              <w:t>2021–2022</w:t>
            </w:r>
          </w:p>
        </w:tc>
        <w:tc>
          <w:tcPr>
            <w:tcW w:type="dxa" w:w="3202"/>
          </w:tcPr>
          <w:p>
            <w:r>
              <w:rPr>
                <w:sz w:val="17"/>
              </w:rPr>
              <w:t>Operator consolidation and mergers; France sets a 20 km/h national road limit; Spain and Belgium adopt 25 km/h equivalents; local permit caps multiply across Europe</w:t>
            </w:r>
          </w:p>
        </w:tc>
        <w:tc>
          <w:tcPr>
            <w:tcW w:type="dxa" w:w="3202"/>
          </w:tcPr>
          <w:p>
            <w:r>
              <w:rPr>
                <w:sz w:val="17"/>
              </w:rPr>
              <w:t>Capital discipline replaces fleet growth as the sector's organising principle</w:t>
            </w:r>
          </w:p>
        </w:tc>
      </w:tr>
      <w:tr>
        <w:tc>
          <w:tcPr>
            <w:tcW w:type="dxa" w:w="3202"/>
          </w:tcPr>
          <w:p>
            <w:r>
              <w:rPr>
                <w:sz w:val="17"/>
              </w:rPr>
              <w:t>2023</w:t>
            </w:r>
          </w:p>
        </w:tc>
        <w:tc>
          <w:tcPr>
            <w:tcW w:type="dxa" w:w="3202"/>
          </w:tcPr>
          <w:p>
            <w:r>
              <w:rPr>
                <w:sz w:val="17"/>
              </w:rPr>
              <w:t>Technavio records 18.59% YoY micro-mobility growth; Paris votes to remove shared e-scooters from the city; European reform wave accelerates</w:t>
            </w:r>
          </w:p>
        </w:tc>
        <w:tc>
          <w:tcPr>
            <w:tcW w:type="dxa" w:w="3202"/>
          </w:tcPr>
          <w:p>
            <w:r>
              <w:rPr>
                <w:sz w:val="17"/>
              </w:rPr>
              <w:t>Public acceptance, not technology, becomes the binding constraint</w:t>
            </w:r>
          </w:p>
        </w:tc>
      </w:tr>
      <w:tr>
        <w:tc>
          <w:tcPr>
            <w:tcW w:type="dxa" w:w="3202"/>
          </w:tcPr>
          <w:p>
            <w:r>
              <w:rPr>
                <w:sz w:val="17"/>
              </w:rPr>
              <w:t>2024</w:t>
            </w:r>
          </w:p>
        </w:tc>
        <w:tc>
          <w:tcPr>
            <w:tcW w:type="dxa" w:w="3202"/>
          </w:tcPr>
          <w:p>
            <w:r>
              <w:rPr>
                <w:sz w:val="17"/>
              </w:rPr>
              <w:t>E-scooter sharing revenue tracked from a USD 925.5 m (2023) base; subscription models mainstream across leading operators; station-bound models gain regulatory favour</w:t>
            </w:r>
          </w:p>
        </w:tc>
        <w:tc>
          <w:tcPr>
            <w:tcW w:type="dxa" w:w="3202"/>
          </w:tcPr>
          <w:p>
            <w:r>
              <w:rPr>
                <w:sz w:val="17"/>
              </w:rPr>
              <w:t>Permit access and community trust become the primary competitive assets</w:t>
            </w:r>
          </w:p>
        </w:tc>
      </w:tr>
    </w:tbl>
    <w:p/>
    <w:p>
      <w:r>
        <w:rPr>
          <w:sz w:val="16"/>
        </w:rPr>
        <w:t>Pre-2022 granular revenue data at the scope granularity required here is not published; conditions are reported as verified milestones from the cited sources rather than as reconstructed point estimates.</w:t>
      </w:r>
    </w:p>
    <w:p>
      <w:pPr>
        <w:pStyle w:val="Heading3"/>
      </w:pPr>
      <w:r>
        <w:rPr>
          <w:color w:val="145A8C"/>
        </w:rPr>
        <w:t>3.4 Business-model shift</w:t>
      </w:r>
    </w:p>
    <w:p>
      <w:r>
        <w:rPr>
          <w:sz w:val="21"/>
        </w:rPr>
        <w:t>The most consequential structural change in the period is the migration from per-ride transactions toward subscription and membership. Technavio identifies this shift as a primary market driver, noting that operators including Lime and Bird have introduced programmes offering unlimited rides for a fixed fee, and that this transition improves loyalty, frequency and revenue predictability in an otherwise commoditised market [2]. For a new entrant, subscription economics materially change the required scale: a city with a small but captive commuter base can support a viable business on predictable monthly revenue even where per-ride utilisation would not clear the operating-cost threshold. This is one of the primary reasons mid-size cities are viable targets rather than merely a consolation prize.</w:t>
      </w:r>
    </w:p>
    <w:p>
      <w:pPr>
        <w:pStyle w:val="Heading2"/>
      </w:pPr>
      <w:r>
        <w:rPr>
          <w:color w:val="0B3D61"/>
        </w:rPr>
        <w:t>4. Market Segmentation &amp; Value Chain</w:t>
      </w:r>
    </w:p>
    <w:p>
      <w:pPr>
        <w:pStyle w:val="Heading3"/>
      </w:pPr>
      <w:r>
        <w:rPr>
          <w:color w:val="145A8C"/>
        </w:rPr>
        <w:t>4.1 Deployment model segmentation</w:t>
      </w:r>
    </w:p>
    <w:p>
      <w:r>
        <w:rPr>
          <w:sz w:val="21"/>
        </w:rPr>
        <w:t>The industry's primary structural axis is the free-floating versus station-bound distinction, and it matters commercially because the two models attract different regulatory constituencies. Free-floating systems, in which vehicles may be collected and returned anywhere within a defined service area, accounted for approximately 95% of e-scooter sharing revenue in 2023, championed by operators including Lime, Bird and Tier Mobility [3]. Station-bound systems, requiring return to a dock, are the smaller but faster-growing segment, and are advocated by operators including Dott in Europe and Beam in Australia as a response to public-space disorder [3].</w:t>
      </w:r>
    </w:p>
    <w:p>
      <w:r>
        <w:rPr>
          <w:sz w:val="21"/>
        </w:rPr>
        <w:t>This is not a purely commercial choice. The EU Urban Mobility Observatory identifies uncurated parking as a leading source of political friction, noting that disorderly parking adversely affects blind and partially sighted people, senior citizens and children, and reports that some cities have begun reallocating car parking spaces to micromobility as a response [1]. Where station-bound or hybrid models have been adopted, they tend to attract fewer municipal objections. For a new entrant, the station-bound or hybrid model is therefore not merely an operational preference; it is the design most likely to obtain a permit.</w:t>
      </w:r>
    </w:p>
    <w:p>
      <w:pPr>
        <w:pStyle w:val="Heading3"/>
      </w:pPr>
      <w:r>
        <w:rPr>
          <w:color w:val="145A8C"/>
        </w:rPr>
        <w:t>4.2 Distribution channel segmentation</w:t>
      </w:r>
    </w:p>
    <w:p>
      <w:r>
        <w:rPr>
          <w:sz w:val="21"/>
        </w:rPr>
        <w:t>Online distribution through mobile applications is effectively mandatory in this industry, accounting for the overwhelming majority of access and enabling location, unlock, payment and navigation in a single interface [3]. Offline distribution — kiosks at airports, universities, corporate campuses and hotels, with manual rental for tourists without local SIM cards — is small but growing, and functions as an acquisition channel rather than a primary mode [3]. For a European brand targeting universities and mid-size cities, the offline channel has specific relevance as a low-cost demand-generation asset in tourist and campus environments.</w:t>
      </w:r>
    </w:p>
    <w:p>
      <w:pPr>
        <w:pStyle w:val="Heading3"/>
      </w:pPr>
      <w:r>
        <w:rPr>
          <w:color w:val="145A8C"/>
        </w:rPr>
        <w:t>4.3 Value chain and where margin sits</w:t>
      </w:r>
    </w:p>
    <w:p>
      <w:r>
        <w:rPr>
          <w:sz w:val="21"/>
        </w:rPr>
        <w:t>The industry value chain comprises vehicle and battery manufacturing, IoT hardware and software, fleet operations including rebalancing and maintenance, city permitting and compliance, and consumer distribution. Margin distribution across this chain is uneven and has shifted since 2022. Hardware manufacturing has become the most commoditised layer, with vehicle durability and battery cost as the principal competitive axes. Operations have emerged as the decisive cost layer, because vehicle lifetime, redeployment balance and maintenance frequency determine unit economics more than vehicle purchase price does. Permitting has become a scarce asset: cities award a limited number of operating rights, and the resulting scarcity gives incumbency value to whoever holds a permit. Consumer distribution margins have compressed toward zero in most European markets, with app-based competition driving per-ride prices down.</w:t>
      </w:r>
    </w:p>
    <w:p>
      <w:r>
        <w:rPr>
          <w:sz w:val="21"/>
        </w:rPr>
        <w:t>Implication for the entrant. Value capture requires either hardware-scale cost advantage or permit scarcity, not consumer-facing price competition. A mid-size-city entrant should plan to earn margin from operational efficiency and permit exclusivity rather than from ride pricing.</w:t>
      </w:r>
    </w:p>
    <w:p>
      <w:r>
        <w:br w:type="page"/>
      </w:r>
    </w:p>
    <w:p>
      <w:pPr>
        <w:pStyle w:val="Heading2"/>
      </w:pPr>
      <w:r>
        <w:rPr>
          <w:color w:val="0B3D61"/>
        </w:rPr>
        <w:t>5. Regional Trends &amp; Analysis</w:t>
      </w:r>
    </w:p>
    <w:p>
      <w:pPr>
        <w:pStyle w:val="Heading3"/>
      </w:pPr>
      <w:r>
        <w:rPr>
          <w:color w:val="145A8C"/>
        </w:rPr>
        <w:t>5.1 North America — mature, consolidated, geofence-native</w:t>
      </w:r>
    </w:p>
    <w:p>
      <w:r>
        <w:rPr>
          <w:sz w:val="21"/>
        </w:rPr>
        <w:t>North America is the origin market for shared micromobility and remains one of the key country regions for global growth, alongside China, Germany, Canada and the United Kingdom [2]. Its defining characteristics are early-maturity and post-consolidation rationalisation. The pandemic and funding contraction removed several large operators, leaving a market served predominantly by a small number of scaled players. North America is also the global centre of geofencing innovation: cities have pioneered the use of GPS-based geofencing to enforce speed limits and restrict operating areas, an enforcement approach the EU Urban Mobility Observatory notes is mostly associated with US practice, while observing that Europe has not yet established a common framework for geofencing or the privacy considerations it raises [1].</w:t>
      </w:r>
    </w:p>
    <w:p>
      <w:r>
        <w:rPr>
          <w:sz w:val="21"/>
        </w:rPr>
        <w:t>Private ownership is materially more developed in North America than in Europe, where US consumers frequently buy personal e-scooters for short-distance commuting. The commercial lesson for a European entrant is that North American city engagement is data-driven and enforcement-oriented: a credible geofencing and speed-compliance capability materially shortens permitting timelines, and is worth building before market entry rather than retrofitting.</w:t>
      </w:r>
    </w:p>
    <w:p>
      <w:pPr>
        <w:pStyle w:val="Heading3"/>
      </w:pPr>
      <w:r>
        <w:rPr>
          <w:color w:val="145A8C"/>
        </w:rPr>
        <w:t>5.2 Europe — largest revenue pool, fastest regulatory tightening</w:t>
      </w:r>
    </w:p>
    <w:p>
      <w:r>
        <w:rPr>
          <w:sz w:val="21"/>
        </w:rPr>
        <w:t>Europe is the dominant revenue region for e-scooter sharing, at approximately 65% of global segment revenue in 2023, and Nova One Advisor attributes this leadership to cities including Paris, Berlin, Madrid and Rome having integrated micro-mobility into their urban transport strategies, with regulatory frameworks that have generally been more supportive than in North America [3]. The European operator set is correspondingly homegrown: Tier Mobility (Germany), Voi Technology (Sweden) and Dott (Netherlands) lead the region and have pursued partnerships with city councils to integrate e-scooters with public transport networks [3].</w:t>
      </w:r>
    </w:p>
    <w:p>
      <w:r>
        <w:rPr>
          <w:sz w:val="21"/>
        </w:rPr>
        <w:t>Europe's position is not, however, secure. The region has become the epicentre of regulatory tightening. Paris voted to remove shared e-scooters from the city, a measure that applies to rental fleets rather than privately owned vehicles [6], and the European Road Safety Charter documents a wider wave of stricter legislation across the continent prompted by safety concerns and public reaction [12]. This produces the central tension for the client: Europe offers the largest addressable pool and the most mature permitting precedent, but also the highest rate of regulatory change and the clearest evidence that municipal discretion can extinguish a market regardless of operator quality.</w:t>
      </w:r>
    </w:p>
    <w:p>
      <w:pPr>
        <w:pStyle w:val="Heading3"/>
      </w:pPr>
      <w:r>
        <w:rPr>
          <w:color w:val="145A8C"/>
        </w:rPr>
        <w:t>5.3 Asia-Pacific — the scale engine</w:t>
      </w:r>
    </w:p>
    <w:p>
      <w:r>
        <w:rPr>
          <w:sz w:val="21"/>
        </w:rPr>
        <w:t>Asia-Pacific is both the largest-contributing and fastest-growing region, with Technavio attributing 51% of global micro-mobility growth to APAC [2]. The drivers are structural rather than cyclical: rapid urbanisation, severe and worsening congestion, a large tech-native young population, and active government policy in China and India promoting electric mobility. Chinese operators including Hello TransTech scale aggressively, while Indian operators such as Yulu have capitalised on government support for electric mobility and smart-city initiatives [3].</w:t>
      </w:r>
    </w:p>
    <w:p>
      <w:r>
        <w:rPr>
          <w:sz w:val="21"/>
        </w:rPr>
        <w:t>The critical structural difference from Europe is that APAC is substantially an ownership market rather than a sharing market. Lower vehicle prices, high urban density, and limited willingness to pay per ride make private ownership the dominant consumption mode, with shared fleets concentrated in specific institutional settings. For a European brand, APAC therefore represents primarily a product, licensing or partnership opportunity rather than a shared-fleet entry target, and a share-of-wallet opportunity that sits outside the client's stated mid-size-city European thesis.</w:t>
      </w:r>
    </w:p>
    <w:p>
      <w:pPr>
        <w:pStyle w:val="Heading3"/>
      </w:pPr>
      <w:r>
        <w:rPr>
          <w:color w:val="145A8C"/>
        </w:rPr>
        <w:t>5.4 Latin America — fast growth, ownership-led, nascent regulation</w:t>
      </w:r>
    </w:p>
    <w:p>
      <w:r>
        <w:rPr>
          <w:sz w:val="21"/>
        </w:rPr>
        <w:t>Latin America is an emerging growth market whose drivers mirror Asia-Pacific's structural conditions: rapid urbanisation and severe congestion in major cities, combined with environmental and sustainable-transport policy pressure [7]. IMARC Group sizes the Latin American electric scooter market at USD 2.45 billion in 2024, reaching USD 5.59 billion by 2033 at a 9.60% CAGR, while Grand View Research projects Latin American micro-mobility at USD 4.31 billion by 2033 at a 9.9% CAGR [5][7]. Note that these CAGRs, at 7–9.9%, are materially below the global figures of 12.7–23.31%, reflecting a market that is growing from a small base in a higher-uncertainty regulatory environment.</w:t>
      </w:r>
    </w:p>
    <w:p>
      <w:r>
        <w:rPr>
          <w:sz w:val="21"/>
        </w:rPr>
        <w:t>Brazil and Mexico anchor demand. Affordability drives consumption toward ownership rather than sharing, and shared-fleet services operate in a limited set of large metropolitan areas. Regulatory frameworks remain nascent and fragmented, with municipal authorities in the major cities carrying most of the practical authority. Strategic implication: Latin America is a second-phase market for the client, best entered through hardware distribution, assembly or a local operating partnership rather than through greenfield shared-fleet deployment. The consumer opportunity is substantial and real, but it is a different business from the European one.</w:t>
      </w:r>
    </w:p>
    <w:p>
      <w:pPr>
        <w:pStyle w:val="Heading3"/>
      </w:pPr>
      <w:r>
        <w:rPr>
          <w:color w:val="145A8C"/>
        </w:rPr>
        <w:t>5.5 Regional comparison</w:t>
      </w:r>
    </w:p>
    <w:tbl>
      <w:tblPr>
        <w:tblStyle w:val="LightGrid-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7"/>
              </w:rPr>
              <w:t>Dimension</w:t>
            </w:r>
          </w:p>
        </w:tc>
        <w:tc>
          <w:tcPr>
            <w:tcW w:type="dxa" w:w="1921"/>
          </w:tcPr>
          <w:p>
            <w:r>
              <w:rPr>
                <w:b/>
                <w:sz w:val="17"/>
              </w:rPr>
              <w:t>North America</w:t>
            </w:r>
          </w:p>
        </w:tc>
        <w:tc>
          <w:tcPr>
            <w:tcW w:type="dxa" w:w="1921"/>
          </w:tcPr>
          <w:p>
            <w:r>
              <w:rPr>
                <w:b/>
                <w:sz w:val="17"/>
              </w:rPr>
              <w:t>Europe</w:t>
            </w:r>
          </w:p>
        </w:tc>
        <w:tc>
          <w:tcPr>
            <w:tcW w:type="dxa" w:w="1921"/>
          </w:tcPr>
          <w:p>
            <w:r>
              <w:rPr>
                <w:b/>
                <w:sz w:val="17"/>
              </w:rPr>
              <w:t>Asia-Pacific</w:t>
            </w:r>
          </w:p>
        </w:tc>
        <w:tc>
          <w:tcPr>
            <w:tcW w:type="dxa" w:w="1921"/>
          </w:tcPr>
          <w:p>
            <w:r>
              <w:rPr>
                <w:b/>
                <w:sz w:val="17"/>
              </w:rPr>
              <w:t>Latin America</w:t>
            </w:r>
          </w:p>
        </w:tc>
      </w:tr>
      <w:tr>
        <w:tc>
          <w:tcPr>
            <w:tcW w:type="dxa" w:w="1921"/>
          </w:tcPr>
          <w:p>
            <w:r>
              <w:rPr>
                <w:sz w:val="17"/>
              </w:rPr>
              <w:t>Share of global growth</w:t>
            </w:r>
          </w:p>
        </w:tc>
        <w:tc>
          <w:tcPr>
            <w:tcW w:type="dxa" w:w="1921"/>
          </w:tcPr>
          <w:p>
            <w:r>
              <w:rPr>
                <w:sz w:val="17"/>
              </w:rPr>
              <w:t>Material</w:t>
            </w:r>
          </w:p>
        </w:tc>
        <w:tc>
          <w:tcPr>
            <w:tcW w:type="dxa" w:w="1921"/>
          </w:tcPr>
          <w:p>
            <w:r>
              <w:rPr>
                <w:sz w:val="17"/>
              </w:rPr>
              <w:t>Material</w:t>
            </w:r>
          </w:p>
        </w:tc>
        <w:tc>
          <w:tcPr>
            <w:tcW w:type="dxa" w:w="1921"/>
          </w:tcPr>
          <w:p>
            <w:r>
              <w:rPr>
                <w:sz w:val="17"/>
              </w:rPr>
              <w:t>51% (leading) [2]</w:t>
            </w:r>
          </w:p>
        </w:tc>
        <w:tc>
          <w:tcPr>
            <w:tcW w:type="dxa" w:w="1921"/>
          </w:tcPr>
          <w:p>
            <w:r>
              <w:rPr>
                <w:sz w:val="17"/>
              </w:rPr>
              <w:t>Emerging</w:t>
            </w:r>
          </w:p>
        </w:tc>
      </w:tr>
      <w:tr>
        <w:tc>
          <w:tcPr>
            <w:tcW w:type="dxa" w:w="1921"/>
          </w:tcPr>
          <w:p>
            <w:r>
              <w:rPr>
                <w:sz w:val="17"/>
              </w:rPr>
              <w:t>Dominant consumption mode</w:t>
            </w:r>
          </w:p>
        </w:tc>
        <w:tc>
          <w:tcPr>
            <w:tcW w:type="dxa" w:w="1921"/>
          </w:tcPr>
          <w:p>
            <w:r>
              <w:rPr>
                <w:sz w:val="17"/>
              </w:rPr>
              <w:t>Sharing + ownership</w:t>
            </w:r>
          </w:p>
        </w:tc>
        <w:tc>
          <w:tcPr>
            <w:tcW w:type="dxa" w:w="1921"/>
          </w:tcPr>
          <w:p>
            <w:r>
              <w:rPr>
                <w:sz w:val="17"/>
              </w:rPr>
              <w:t>Sharing (~65% of segment revenue) [3]</w:t>
            </w:r>
          </w:p>
        </w:tc>
        <w:tc>
          <w:tcPr>
            <w:tcW w:type="dxa" w:w="1921"/>
          </w:tcPr>
          <w:p>
            <w:r>
              <w:rPr>
                <w:sz w:val="17"/>
              </w:rPr>
              <w:t>Ownership</w:t>
            </w:r>
          </w:p>
        </w:tc>
        <w:tc>
          <w:tcPr>
            <w:tcW w:type="dxa" w:w="1921"/>
          </w:tcPr>
          <w:p>
            <w:r>
              <w:rPr>
                <w:sz w:val="17"/>
              </w:rPr>
              <w:t>Ownership</w:t>
            </w:r>
          </w:p>
        </w:tc>
      </w:tr>
      <w:tr>
        <w:tc>
          <w:tcPr>
            <w:tcW w:type="dxa" w:w="1921"/>
          </w:tcPr>
          <w:p>
            <w:r>
              <w:rPr>
                <w:sz w:val="17"/>
              </w:rPr>
              <w:t>Regulatory trajectory</w:t>
            </w:r>
          </w:p>
        </w:tc>
        <w:tc>
          <w:tcPr>
            <w:tcW w:type="dxa" w:w="1921"/>
          </w:tcPr>
          <w:p>
            <w:r>
              <w:rPr>
                <w:sz w:val="17"/>
              </w:rPr>
              <w:t>Local, enforcement-led</w:t>
            </w:r>
          </w:p>
        </w:tc>
        <w:tc>
          <w:tcPr>
            <w:tcW w:type="dxa" w:w="1921"/>
          </w:tcPr>
          <w:p>
            <w:r>
              <w:rPr>
                <w:sz w:val="17"/>
              </w:rPr>
              <w:t>Tightening toward safety and parking control</w:t>
            </w:r>
          </w:p>
        </w:tc>
        <w:tc>
          <w:tcPr>
            <w:tcW w:type="dxa" w:w="1921"/>
          </w:tcPr>
          <w:p>
            <w:r>
              <w:rPr>
                <w:sz w:val="17"/>
              </w:rPr>
              <w:t>Policy-supportive, state-aligned</w:t>
            </w:r>
          </w:p>
        </w:tc>
        <w:tc>
          <w:tcPr>
            <w:tcW w:type="dxa" w:w="1921"/>
          </w:tcPr>
          <w:p>
            <w:r>
              <w:rPr>
                <w:sz w:val="17"/>
              </w:rPr>
              <w:t>Nascent, fragmented</w:t>
            </w:r>
          </w:p>
        </w:tc>
      </w:tr>
      <w:tr>
        <w:tc>
          <w:tcPr>
            <w:tcW w:type="dxa" w:w="1921"/>
          </w:tcPr>
          <w:p>
            <w:r>
              <w:rPr>
                <w:sz w:val="17"/>
              </w:rPr>
              <w:t>Operator concentration</w:t>
            </w:r>
          </w:p>
        </w:tc>
        <w:tc>
          <w:tcPr>
            <w:tcW w:type="dxa" w:w="1921"/>
          </w:tcPr>
          <w:p>
            <w:r>
              <w:rPr>
                <w:sz w:val="17"/>
              </w:rPr>
              <w:t>High post-consolidation</w:t>
            </w:r>
          </w:p>
        </w:tc>
        <w:tc>
          <w:tcPr>
            <w:tcW w:type="dxa" w:w="1921"/>
          </w:tcPr>
          <w:p>
            <w:r>
              <w:rPr>
                <w:sz w:val="17"/>
              </w:rPr>
              <w:t>High, homegrown leaders</w:t>
            </w:r>
          </w:p>
        </w:tc>
        <w:tc>
          <w:tcPr>
            <w:tcW w:type="dxa" w:w="1921"/>
          </w:tcPr>
          <w:p>
            <w:r>
              <w:rPr>
                <w:sz w:val="17"/>
              </w:rPr>
              <w:t>Fragmented, local champions</w:t>
            </w:r>
          </w:p>
        </w:tc>
        <w:tc>
          <w:tcPr>
            <w:tcW w:type="dxa" w:w="1921"/>
          </w:tcPr>
          <w:p>
            <w:r>
              <w:rPr>
                <w:sz w:val="17"/>
              </w:rPr>
              <w:t>Low</w:t>
            </w:r>
          </w:p>
        </w:tc>
      </w:tr>
      <w:tr>
        <w:tc>
          <w:tcPr>
            <w:tcW w:type="dxa" w:w="1921"/>
          </w:tcPr>
          <w:p>
            <w:r>
              <w:rPr>
                <w:sz w:val="17"/>
              </w:rPr>
              <w:t>Entry attractiveness for client</w:t>
            </w:r>
          </w:p>
        </w:tc>
        <w:tc>
          <w:tcPr>
            <w:tcW w:type="dxa" w:w="1921"/>
          </w:tcPr>
          <w:p>
            <w:r>
              <w:rPr>
                <w:sz w:val="17"/>
              </w:rPr>
              <w:t>Medium (saturated)</w:t>
            </w:r>
          </w:p>
        </w:tc>
        <w:tc>
          <w:tcPr>
            <w:tcW w:type="dxa" w:w="1921"/>
          </w:tcPr>
          <w:p>
            <w:r>
              <w:rPr>
                <w:sz w:val="17"/>
              </w:rPr>
              <w:t>High (mid-size whitespace)</w:t>
            </w:r>
          </w:p>
        </w:tc>
        <w:tc>
          <w:tcPr>
            <w:tcW w:type="dxa" w:w="1921"/>
          </w:tcPr>
          <w:p>
            <w:r>
              <w:rPr>
                <w:sz w:val="17"/>
              </w:rPr>
              <w:t>Low (partnership only)</w:t>
            </w:r>
          </w:p>
        </w:tc>
        <w:tc>
          <w:tcPr>
            <w:tcW w:type="dxa" w:w="1921"/>
          </w:tcPr>
          <w:p>
            <w:r>
              <w:rPr>
                <w:sz w:val="17"/>
              </w:rPr>
              <w:t>Medium (phase two)</w:t>
            </w:r>
          </w:p>
        </w:tc>
      </w:tr>
    </w:tbl>
    <w:p/>
    <w:p>
      <w:r>
        <w:br w:type="page"/>
      </w:r>
    </w:p>
    <w:p>
      <w:pPr>
        <w:pStyle w:val="Heading2"/>
      </w:pPr>
      <w:r>
        <w:rPr>
          <w:color w:val="0B3D61"/>
        </w:rPr>
        <w:t>6. Competitive Landscape &amp; Company Profiles</w:t>
      </w:r>
    </w:p>
    <w:p>
      <w:pPr>
        <w:pStyle w:val="Heading3"/>
      </w:pPr>
      <w:r>
        <w:rPr>
          <w:color w:val="145A8C"/>
        </w:rPr>
        <w:t>6.1 Structure of the competitive set</w:t>
      </w:r>
    </w:p>
    <w:p>
      <w:r>
        <w:rPr>
          <w:sz w:val="21"/>
        </w:rPr>
        <w:t>The competitive landscape comprises global shared-mobility operators, regional European champions, ride-hailing groups that have extended into micromobility, and Asia-Pacific scale players. Analyst coverage of the sector consistently identifies Bird Global, Lime, Tier Mobility, Voi Technology, Dott, Bolt Mobility, Superpedestrian, Beam Mobility, Neuron Mobility, Revel Transit, Wind Mobility and Helbiz among the principal players across the sharing and peer-to-peer segments [3][9][10]. The 2022–2024 period materially reshaped this set, with Superpedestrian, Wind Mobility, Helbiz and several regional operators exiting or contracting substantially.</w:t>
      </w:r>
    </w:p>
    <w:p>
      <w:pPr>
        <w:pStyle w:val="Heading3"/>
      </w:pPr>
      <w:r>
        <w:rPr>
          <w:color w:val="145A8C"/>
        </w:rPr>
        <w:t>6.2 Profiles of the eight most significant players</w:t>
      </w:r>
    </w:p>
    <w:p>
      <w:pPr>
        <w:pStyle w:val="Heading4"/>
      </w:pPr>
      <w:r>
        <w:rPr>
          <w:color w:val="145A8C"/>
        </w:rPr>
        <w:t>1. Lime (Neutron Holdings) — global scale leader</w:t>
      </w:r>
    </w:p>
    <w:p>
      <w:r>
        <w:rPr>
          <w:sz w:val="21"/>
        </w:rPr>
        <w:t>Lime is the largest global shared micromobility operator, with the broadest geographic footprint across North America, Europe and Asia-Pacific, and a fleet spanning both e-scooters and e-bikes. It is one of the operators that has implemented subscription membership programmes, cited by Technavio as a defining market driver [2]. Lime's post-2022 strategy emphasises unit economics and fleet densification over geographic expansion, and it remains the benchmark against which new entrants' cost structures are judged.</w:t>
      </w:r>
    </w:p>
    <w:p>
      <w:pPr>
        <w:pStyle w:val="Heading4"/>
      </w:pPr>
      <w:r>
        <w:rPr>
          <w:color w:val="145A8C"/>
        </w:rPr>
        <w:t>2. Bird Global — the category pioneer</w:t>
      </w:r>
    </w:p>
    <w:p>
      <w:r>
        <w:rPr>
          <w:sz w:val="21"/>
        </w:rPr>
        <w:t>Bird was among the first operators to launch at scale in 2018 and carried the brand through the sector's first expansion phase. It subsequently underwent financial restructuring and a significant reduction in its city footprint, refocusing on profitability and fleet density in remaining markets. Bird's history is analytically valuable to a new entrant because it documents the specific failure modes — over-expansion and loose unit economics — that the current generation of operators is explicitly avoiding.</w:t>
      </w:r>
    </w:p>
    <w:p>
      <w:pPr>
        <w:pStyle w:val="Heading4"/>
      </w:pPr>
      <w:r>
        <w:rPr>
          <w:color w:val="145A8C"/>
        </w:rPr>
        <w:t>3. Tier Mobility — the European compliance benchmark</w:t>
      </w:r>
    </w:p>
    <w:p>
      <w:r>
        <w:rPr>
          <w:sz w:val="21"/>
        </w:rPr>
        <w:t>Headquartered in Germany, Tier Mobility has positioned itself as the European leader in regulated, city-partnership micromobility, combining docked and free-floating deployment with strong corporate and transit-integration relationships. Its German base gives it direct familiarity with the E-Kleinfahrzeuge approval regime, and it is consistently named in analyst competitive sets as a leading European player alongside Voi and Dott [3]. Tier is the most direct competitor to the client's stated thesis.</w:t>
      </w:r>
    </w:p>
    <w:p>
      <w:pPr>
        <w:pStyle w:val="Heading4"/>
      </w:pPr>
      <w:r>
        <w:rPr>
          <w:color w:val="145A8C"/>
        </w:rPr>
        <w:t>4. Voi Technology — northern-European transit integration</w:t>
      </w:r>
    </w:p>
    <w:p>
      <w:r>
        <w:rPr>
          <w:sz w:val="21"/>
        </w:rPr>
        <w:t>Voi, headquartered in Sweden, has built a strong position in the Nordics and has been prominent in the United Kingdom's regulated rental trials. Its strategy emphasises transit integration and safety technology, including rider-speed-limiting and geofencing. Voi's record is a direct demonstration of the value of safety and compliance positioning in markets where regulators are becoming more interventionist.</w:t>
      </w:r>
    </w:p>
    <w:p>
      <w:pPr>
        <w:pStyle w:val="Heading4"/>
      </w:pPr>
      <w:r>
        <w:rPr>
          <w:color w:val="145A8C"/>
        </w:rPr>
        <w:t>5. Dott — the station-bound advocate</w:t>
      </w:r>
    </w:p>
    <w:p>
      <w:r>
        <w:rPr>
          <w:sz w:val="21"/>
        </w:rPr>
        <w:t>Dott, headquartered in the Netherlands, is the most prominent European operator of station-bound and docked micromobility, and is cited by Nova One Advisor as an example of operators introducing docking stations in response to municipal concern about disorderly parking, including partnerships with public transport hubs [3]. Dott's model is the clearest existing precedent that docked deployment can obtain municipal consent in a regulatory environment where free-floating deployment faces public backlash.</w:t>
      </w:r>
    </w:p>
    <w:p>
      <w:pPr>
        <w:pStyle w:val="Heading4"/>
      </w:pPr>
      <w:r>
        <w:rPr>
          <w:color w:val="145A8C"/>
        </w:rPr>
        <w:t>6. Bolt Mobility — super-app vertical integration</w:t>
      </w:r>
    </w:p>
    <w:p>
      <w:r>
        <w:rPr>
          <w:sz w:val="21"/>
        </w:rPr>
        <w:t>Bolt, headquartered in Estonia, operates an integrated ecosystem spanning ride-hailing, micromobility and food delivery, and applies aggressive pricing to win share, particularly in Central and Eastern Europe and Southern Europe. Its structural advantage is distribution: an existing rider base and app, which lowers customer-acquisition cost. Its structural disadvantage for an incumbent challenger is precisely the same strength — Bolt can absorb low micromobility margins as customer-acquisition spend.</w:t>
      </w:r>
    </w:p>
    <w:p>
      <w:pPr>
        <w:pStyle w:val="Heading4"/>
      </w:pPr>
      <w:r>
        <w:rPr>
          <w:color w:val="145A8C"/>
        </w:rPr>
        <w:t>7. Beam Mobility — the APAC safety-first operator</w:t>
      </w:r>
    </w:p>
    <w:p>
      <w:r>
        <w:rPr>
          <w:sz w:val="21"/>
        </w:rPr>
        <w:t>Beam operates across Australia and Asia-Pacific with a docked-hub model and a safety-innovation mandate that has seen it mandate design features ahead of regulatory requirements. Beam is the clearest existing example of a safety-first positioning being used commercially rather than merely as a compliance posture, and is cited in analyst sets as a significant player in both the e-scooter sharing and broader micro-mobility competitive landscape [3][9].</w:t>
      </w:r>
    </w:p>
    <w:p>
      <w:pPr>
        <w:pStyle w:val="Heading4"/>
      </w:pPr>
      <w:r>
        <w:rPr>
          <w:color w:val="145A8C"/>
        </w:rPr>
        <w:t>8. APAC scale operators — Hello TransTech, Yulu and the ownership model</w:t>
      </w:r>
    </w:p>
    <w:p>
      <w:r>
        <w:rPr>
          <w:sz w:val="21"/>
        </w:rPr>
        <w:t>The eighth position is collectively occupied by Asia-Pacific operators including Hello TransTech in China and Yulu in India, both of which operate at scale aligned with government electrification and smart-city programmes [2][3]. These players compete principally in the ownership and institutional segments rather than in European-style free-floating sharing, and represent a partnership or competitive-reference set for the client rather than a direct European entry competitor.</w:t>
      </w:r>
    </w:p>
    <w:p>
      <w:pPr>
        <w:pStyle w:val="Heading3"/>
      </w:pPr>
      <w:r>
        <w:rPr>
          <w:color w:val="145A8C"/>
        </w:rPr>
        <w:t>6.3 Competitive implications for a new entrant</w:t>
      </w:r>
    </w:p>
    <w:p>
      <w:r>
        <w:rPr>
          <w:sz w:val="21"/>
        </w:rPr>
        <w:t>Consolidation has produced a market with fewer but stronger incumbents, all of which have learned the same lessons at the same cost. The consequences for a new entrant are asymmetric. The disadvantage is that no surviving operator is naive, so there is no legacy process to outcompete. The advantage is that consolidation has left genuine geographic whitespace: dozens of mid-size European cities that previously lost operators during the funding contraction have not been re-served, and the incumbents that remain have every reason not to prioritise them given their concentration on higher-yield markets.</w:t>
      </w:r>
    </w:p>
    <w:p>
      <w:r>
        <w:br w:type="page"/>
      </w:r>
    </w:p>
    <w:p>
      <w:pPr>
        <w:pStyle w:val="Heading2"/>
      </w:pPr>
      <w:r>
        <w:rPr>
          <w:color w:val="0B3D61"/>
        </w:rPr>
        <w:t>7. Regulatory &amp; Policy Environment (5 Countries)</w:t>
      </w:r>
    </w:p>
    <w:p>
      <w:r>
        <w:rPr>
          <w:sz w:val="21"/>
        </w:rPr>
        <w:t>Regulatory frameworks for e-scooters have developed rapidly since 2019 and remain fragmented between national and local levels. The EU Urban Mobility Observatory documents the disparate approaches across member states, and this report summarises the frameworks in five representative countries: Germany, France, Spain, Italy and the United Kingdom [1].</w:t>
      </w:r>
    </w:p>
    <w:p>
      <w:pPr>
        <w:pStyle w:val="Heading3"/>
      </w:pPr>
      <w:r>
        <w:rPr>
          <w:color w:val="145A8C"/>
        </w:rPr>
        <w:t>7.1 Germany — clear national framework, compliant-hardware lead</w:t>
      </w:r>
    </w:p>
    <w:p>
      <w:r>
        <w:rPr>
          <w:sz w:val="21"/>
        </w:rPr>
        <w:t>Germany legalised e-scooters as Elektrokleinstfahrzeuge (E-Kleinfahrzeuge) and requires a type-approval registration-style licence for use on public roads. Vehicles must be limited to a maximum design speed of 20 km/h, fitted with front lights and side reflectors, two independent brakes, and a bell or audible warning device [1]. The minimum rider age is 14. Germany's framework has the significant advantage of clarity: the national requirements are specified, predictable and identical across cities, and operators are permitted in most large cities including through the leading European players' deployment. Implication: a hardware entrant targeting Germany must comply with the E-Kleinfahrzeuge standard at the vehicle-design stage, not as an aftermarket modification.</w:t>
      </w:r>
    </w:p>
    <w:p>
      <w:pPr>
        <w:pStyle w:val="Heading3"/>
      </w:pPr>
      <w:r>
        <w:rPr>
          <w:color w:val="145A8C"/>
        </w:rPr>
        <w:t>7.2 France — EDPM regime with a Paris-shaped warning</w:t>
      </w:r>
    </w:p>
    <w:p>
      <w:r>
        <w:rPr>
          <w:sz w:val="21"/>
        </w:rPr>
        <w:t>France classifies e-scooters as engins de déplacement personnel motorisés (EDPM). National circulation rules permit riding from age 14 (motorised personal mobility device rules), cap speed at 25 km/h for EDPMs with local adjustment, ban pavement riding, and require insurance. The landmark event is Paris's 2023 decision to withdraw the rental-fleet operating rights from the city, which applies to shared e-scooter fleets rather than to privately owned vehicles [6]. The Paris decision is the single most important cautionary data point in the industry: a city can extinguish the shared-fleet market regardless of operator conduct, and no commercial case can be built against that political risk. French rules have also tightened around age, helmet requirements for minors and fine levels, and the city-level framework gives local authorities the power to limit vehicle numbers and operators, impose maintenance requirements, and manage noise and pollution [1].</w:t>
      </w:r>
    </w:p>
    <w:p>
      <w:pPr>
        <w:pStyle w:val="Heading3"/>
      </w:pPr>
      <w:r>
        <w:rPr>
          <w:color w:val="145A8C"/>
        </w:rPr>
        <w:t>7.3 Spain — VMP classification and insurance regime</w:t>
      </w:r>
    </w:p>
    <w:p>
      <w:r>
        <w:rPr>
          <w:sz w:val="21"/>
        </w:rPr>
        <w:t>Spain classifies e-scooters as vehículos de movilidad personal (VMP) under national traffic authority rules establishing a 25 km/h maximum speed and requiring insurance and, progressively, registration of VMPs. The national framework sits above an active municipal permit system, with Madrid, Barcelona and Valencia running local tender and permitting regimes. The Spanish market combines permissive national recognition with meaningful local entry requirements, making it a workable but compliance-heavy entry target for a European brand.</w:t>
      </w:r>
    </w:p>
    <w:p>
      <w:pPr>
        <w:pStyle w:val="Heading3"/>
      </w:pPr>
      <w:r>
        <w:rPr>
          <w:color w:val="145A8C"/>
        </w:rPr>
        <w:t>7.4 Italy — permissive national rules, northern-city adoption</w:t>
      </w:r>
    </w:p>
    <w:p>
      <w:r>
        <w:rPr>
          <w:sz w:val="21"/>
        </w:rPr>
        <w:t>Italy's national framework sets a minimum rider age of 14, mandates helmets for riders under 18, and caps speeds at 25 km/h on carriageways where bicycles are allowed and 6 km/h in pedestrian areas [1]. Adoption is concentrated in the northern cities of Milan, Turin and Rimini, where e-scooters were previously excluded from circulation before the 2020 reforms enabled them. The Italian market is structurally permissive and has a demonstrated adoption base in the north, though the national framework's division of carriageway and pedestrian-zone speeds creates operational complexity for fleet routing.</w:t>
      </w:r>
    </w:p>
    <w:p>
      <w:pPr>
        <w:pStyle w:val="Heading3"/>
      </w:pPr>
      <w:r>
        <w:rPr>
          <w:color w:val="145A8C"/>
        </w:rPr>
        <w:t>7.5 United Kingdom — effectively closed, regulatory watchlist</w:t>
      </w:r>
    </w:p>
    <w:p>
      <w:r>
        <w:rPr>
          <w:sz w:val="21"/>
        </w:rPr>
        <w:t>The United Kingdom stands apart: riding e-scooters is legal only on private land, commercial shared schemes are consequently not possible on the general road network, and the government has committed to reviewing the regulation and governance of emerging transport modes including e-scooters [1]. A limited number of government-sanctioned rental trials have operated in selected areas, and the results of these trials are likely to inform any national legalisation. Implication: the UK should be treated strictly as a regulatory watchlist market. No capital should be committed until either (a) national law changes to permit ridable e-scooters, or (b) a commercially meaningful trial framework is extended, at which point the client's demonstrated European compliance record would constitute first-mover credibility.</w:t>
      </w:r>
    </w:p>
    <w:p>
      <w:pPr>
        <w:pStyle w:val="Heading3"/>
      </w:pPr>
      <w:r>
        <w:rPr>
          <w:color w:val="145A8C"/>
        </w:rPr>
        <w:t>7.6 Cross-country synthesis</w:t>
      </w:r>
    </w:p>
    <w:tbl>
      <w:tblPr>
        <w:tblStyle w:val="LightGrid-Accent1"/>
        <w:tblW w:type="auto" w:w="0"/>
        <w:tblLook w:firstColumn="1" w:firstRow="1" w:lastColumn="0" w:lastRow="0" w:noHBand="0" w:noVBand="1" w:val="04A0"/>
      </w:tblPr>
      <w:tblGrid>
        <w:gridCol w:w="1601"/>
        <w:gridCol w:w="1601"/>
        <w:gridCol w:w="1601"/>
        <w:gridCol w:w="1601"/>
        <w:gridCol w:w="1601"/>
        <w:gridCol w:w="1601"/>
      </w:tblGrid>
      <w:tr>
        <w:tc>
          <w:tcPr>
            <w:tcW w:type="dxa" w:w="1601"/>
          </w:tcPr>
          <w:p>
            <w:r>
              <w:rPr>
                <w:b/>
                <w:sz w:val="17"/>
              </w:rPr>
              <w:t>Country</w:t>
            </w:r>
          </w:p>
        </w:tc>
        <w:tc>
          <w:tcPr>
            <w:tcW w:type="dxa" w:w="1601"/>
          </w:tcPr>
          <w:p>
            <w:r>
              <w:rPr>
                <w:b/>
                <w:sz w:val="17"/>
              </w:rPr>
              <w:t>Legal status (private)</w:t>
            </w:r>
          </w:p>
        </w:tc>
        <w:tc>
          <w:tcPr>
            <w:tcW w:type="dxa" w:w="1601"/>
          </w:tcPr>
          <w:p>
            <w:r>
              <w:rPr>
                <w:b/>
                <w:sz w:val="17"/>
              </w:rPr>
              <w:t>Max speed</w:t>
            </w:r>
          </w:p>
        </w:tc>
        <w:tc>
          <w:tcPr>
            <w:tcW w:type="dxa" w:w="1601"/>
          </w:tcPr>
          <w:p>
            <w:r>
              <w:rPr>
                <w:b/>
                <w:sz w:val="17"/>
              </w:rPr>
              <w:t>Min age</w:t>
            </w:r>
          </w:p>
        </w:tc>
        <w:tc>
          <w:tcPr>
            <w:tcW w:type="dxa" w:w="1601"/>
          </w:tcPr>
          <w:p>
            <w:r>
              <w:rPr>
                <w:b/>
                <w:sz w:val="17"/>
              </w:rPr>
              <w:t>Key obligations</w:t>
            </w:r>
          </w:p>
        </w:tc>
        <w:tc>
          <w:tcPr>
            <w:tcW w:type="dxa" w:w="1601"/>
          </w:tcPr>
          <w:p>
            <w:r>
              <w:rPr>
                <w:b/>
                <w:sz w:val="17"/>
              </w:rPr>
              <w:t>Shared-fleet status</w:t>
            </w:r>
          </w:p>
        </w:tc>
      </w:tr>
      <w:tr>
        <w:tc>
          <w:tcPr>
            <w:tcW w:type="dxa" w:w="1601"/>
          </w:tcPr>
          <w:p>
            <w:r>
              <w:rPr>
                <w:sz w:val="17"/>
              </w:rPr>
              <w:t>Germany</w:t>
            </w:r>
          </w:p>
        </w:tc>
        <w:tc>
          <w:tcPr>
            <w:tcW w:type="dxa" w:w="1601"/>
          </w:tcPr>
          <w:p>
            <w:r>
              <w:rPr>
                <w:sz w:val="17"/>
              </w:rPr>
              <w:t>Legal (E-Kleinfahrzeuge approval)</w:t>
            </w:r>
          </w:p>
        </w:tc>
        <w:tc>
          <w:tcPr>
            <w:tcW w:type="dxa" w:w="1601"/>
          </w:tcPr>
          <w:p>
            <w:r>
              <w:rPr>
                <w:sz w:val="17"/>
              </w:rPr>
              <w:t>20 km/h design</w:t>
            </w:r>
          </w:p>
        </w:tc>
        <w:tc>
          <w:tcPr>
            <w:tcW w:type="dxa" w:w="1601"/>
          </w:tcPr>
          <w:p>
            <w:r>
              <w:rPr>
                <w:sz w:val="17"/>
              </w:rPr>
              <w:t>14</w:t>
            </w:r>
          </w:p>
        </w:tc>
        <w:tc>
          <w:tcPr>
            <w:tcW w:type="dxa" w:w="1601"/>
          </w:tcPr>
          <w:p>
            <w:r>
              <w:rPr>
                <w:sz w:val="17"/>
              </w:rPr>
              <w:t>Lights, two independent brakes, bell; type approval</w:t>
            </w:r>
          </w:p>
        </w:tc>
        <w:tc>
          <w:tcPr>
            <w:tcW w:type="dxa" w:w="1601"/>
          </w:tcPr>
          <w:p>
            <w:r>
              <w:rPr>
                <w:sz w:val="17"/>
              </w:rPr>
              <w:t>Active, permits required</w:t>
            </w:r>
          </w:p>
        </w:tc>
      </w:tr>
      <w:tr>
        <w:tc>
          <w:tcPr>
            <w:tcW w:type="dxa" w:w="1601"/>
          </w:tcPr>
          <w:p>
            <w:r>
              <w:rPr>
                <w:sz w:val="17"/>
              </w:rPr>
              <w:t>France</w:t>
            </w:r>
          </w:p>
        </w:tc>
        <w:tc>
          <w:tcPr>
            <w:tcW w:type="dxa" w:w="1601"/>
          </w:tcPr>
          <w:p>
            <w:r>
              <w:rPr>
                <w:sz w:val="17"/>
              </w:rPr>
              <w:t>Legal (EDPM)</w:t>
            </w:r>
          </w:p>
        </w:tc>
        <w:tc>
          <w:tcPr>
            <w:tcW w:type="dxa" w:w="1601"/>
          </w:tcPr>
          <w:p>
            <w:r>
              <w:rPr>
                <w:sz w:val="17"/>
              </w:rPr>
              <w:t>25 km/h (local variation)</w:t>
            </w:r>
          </w:p>
        </w:tc>
        <w:tc>
          <w:tcPr>
            <w:tcW w:type="dxa" w:w="1601"/>
          </w:tcPr>
          <w:p>
            <w:r>
              <w:rPr>
                <w:sz w:val="17"/>
              </w:rPr>
              <w:t>14</w:t>
            </w:r>
          </w:p>
        </w:tc>
        <w:tc>
          <w:tcPr>
            <w:tcW w:type="dxa" w:w="1601"/>
          </w:tcPr>
          <w:p>
            <w:r>
              <w:rPr>
                <w:sz w:val="17"/>
              </w:rPr>
              <w:t>Insurance; pavement ban; local permit powers</w:t>
            </w:r>
          </w:p>
        </w:tc>
        <w:tc>
          <w:tcPr>
            <w:tcW w:type="dxa" w:w="1601"/>
          </w:tcPr>
          <w:p>
            <w:r>
              <w:rPr>
                <w:sz w:val="17"/>
              </w:rPr>
              <w:t>Paris banned rental fleets; other cities permit</w:t>
            </w:r>
          </w:p>
        </w:tc>
      </w:tr>
      <w:tr>
        <w:tc>
          <w:tcPr>
            <w:tcW w:type="dxa" w:w="1601"/>
          </w:tcPr>
          <w:p>
            <w:r>
              <w:rPr>
                <w:sz w:val="17"/>
              </w:rPr>
              <w:t>Spain</w:t>
            </w:r>
          </w:p>
        </w:tc>
        <w:tc>
          <w:tcPr>
            <w:tcW w:type="dxa" w:w="1601"/>
          </w:tcPr>
          <w:p>
            <w:r>
              <w:rPr>
                <w:sz w:val="17"/>
              </w:rPr>
              <w:t>Legal (VMP)</w:t>
            </w:r>
          </w:p>
        </w:tc>
        <w:tc>
          <w:tcPr>
            <w:tcW w:type="dxa" w:w="1601"/>
          </w:tcPr>
          <w:p>
            <w:r>
              <w:rPr>
                <w:sz w:val="17"/>
              </w:rPr>
              <w:t>25 km/h</w:t>
            </w:r>
          </w:p>
        </w:tc>
        <w:tc>
          <w:tcPr>
            <w:tcW w:type="dxa" w:w="1601"/>
          </w:tcPr>
          <w:p>
            <w:r>
              <w:rPr>
                <w:sz w:val="17"/>
              </w:rPr>
              <w:t>16 (VMP general)</w:t>
            </w:r>
          </w:p>
        </w:tc>
        <w:tc>
          <w:tcPr>
            <w:tcW w:type="dxa" w:w="1601"/>
          </w:tcPr>
          <w:p>
            <w:r>
              <w:rPr>
                <w:sz w:val="17"/>
              </w:rPr>
              <w:t>Insurance; registration evolving</w:t>
            </w:r>
          </w:p>
        </w:tc>
        <w:tc>
          <w:tcPr>
            <w:tcW w:type="dxa" w:w="1601"/>
          </w:tcPr>
          <w:p>
            <w:r>
              <w:rPr>
                <w:sz w:val="17"/>
              </w:rPr>
              <w:t>Active under municipal permit/tender</w:t>
            </w:r>
          </w:p>
        </w:tc>
      </w:tr>
      <w:tr>
        <w:tc>
          <w:tcPr>
            <w:tcW w:type="dxa" w:w="1601"/>
          </w:tcPr>
          <w:p>
            <w:r>
              <w:rPr>
                <w:sz w:val="17"/>
              </w:rPr>
              <w:t>Italy</w:t>
            </w:r>
          </w:p>
        </w:tc>
        <w:tc>
          <w:tcPr>
            <w:tcW w:type="dxa" w:w="1601"/>
          </w:tcPr>
          <w:p>
            <w:r>
              <w:rPr>
                <w:sz w:val="17"/>
              </w:rPr>
              <w:t>Legal</w:t>
            </w:r>
          </w:p>
        </w:tc>
        <w:tc>
          <w:tcPr>
            <w:tcW w:type="dxa" w:w="1601"/>
          </w:tcPr>
          <w:p>
            <w:r>
              <w:rPr>
                <w:sz w:val="17"/>
              </w:rPr>
              <w:t>25 km/h roads; 6 km/h pedestrian zones</w:t>
            </w:r>
          </w:p>
        </w:tc>
        <w:tc>
          <w:tcPr>
            <w:tcW w:type="dxa" w:w="1601"/>
          </w:tcPr>
          <w:p>
            <w:r>
              <w:rPr>
                <w:sz w:val="17"/>
              </w:rPr>
              <w:t>14</w:t>
            </w:r>
          </w:p>
        </w:tc>
        <w:tc>
          <w:tcPr>
            <w:tcW w:type="dxa" w:w="1601"/>
          </w:tcPr>
          <w:p>
            <w:r>
              <w:rPr>
                <w:sz w:val="17"/>
              </w:rPr>
              <w:t>Helmet under 18; lights</w:t>
            </w:r>
          </w:p>
        </w:tc>
        <w:tc>
          <w:tcPr>
            <w:tcW w:type="dxa" w:w="1601"/>
          </w:tcPr>
          <w:p>
            <w:r>
              <w:rPr>
                <w:sz w:val="17"/>
              </w:rPr>
              <w:t>Active in Milan, Turin, Rimini</w:t>
            </w:r>
          </w:p>
        </w:tc>
      </w:tr>
      <w:tr>
        <w:tc>
          <w:tcPr>
            <w:tcW w:type="dxa" w:w="1601"/>
          </w:tcPr>
          <w:p>
            <w:r>
              <w:rPr>
                <w:sz w:val="17"/>
              </w:rPr>
              <w:t>United Kingdom</w:t>
            </w:r>
          </w:p>
        </w:tc>
        <w:tc>
          <w:tcPr>
            <w:tcW w:type="dxa" w:w="1601"/>
          </w:tcPr>
          <w:p>
            <w:r>
              <w:rPr>
                <w:sz w:val="17"/>
              </w:rPr>
              <w:t>Not legal on public roads</w:t>
            </w:r>
          </w:p>
        </w:tc>
        <w:tc>
          <w:tcPr>
            <w:tcW w:type="dxa" w:w="1601"/>
          </w:tcPr>
          <w:p>
            <w:r>
              <w:rPr>
                <w:sz w:val="17"/>
              </w:rPr>
              <w:t>n/a</w:t>
            </w:r>
          </w:p>
        </w:tc>
        <w:tc>
          <w:tcPr>
            <w:tcW w:type="dxa" w:w="1601"/>
          </w:tcPr>
          <w:p>
            <w:r>
              <w:rPr>
                <w:sz w:val="17"/>
              </w:rPr>
              <w:t>n/a</w:t>
            </w:r>
          </w:p>
        </w:tc>
        <w:tc>
          <w:tcPr>
            <w:tcW w:type="dxa" w:w="1601"/>
          </w:tcPr>
          <w:p>
            <w:r>
              <w:rPr>
                <w:sz w:val="17"/>
              </w:rPr>
              <w:t>Private-land use only</w:t>
            </w:r>
          </w:p>
        </w:tc>
        <w:tc>
          <w:tcPr>
            <w:tcW w:type="dxa" w:w="1601"/>
          </w:tcPr>
          <w:p>
            <w:r>
              <w:rPr>
                <w:sz w:val="17"/>
              </w:rPr>
              <w:t>Trials only</w:t>
            </w:r>
          </w:p>
        </w:tc>
      </w:tr>
    </w:tbl>
    <w:p/>
    <w:p>
      <w:r>
        <w:rPr>
          <w:sz w:val="21"/>
        </w:rPr>
        <w:t>Across all five countries, the EU Urban Mobility Observatory identifies common regulatory criteria even where the detail differs: the spaces where e-scooters may operate, compliance with safety rules, age requirements, the reflection of local-government competence in micro-mobility management, and training or licensing requirements [1]. The European Road Safety Charter further documents the current wave of stricter reform across the continent [12]. For an entrant, the practical consequence is a requirement for a dedicated city-level compliance capability rather than a single national compliance function.</w:t>
      </w:r>
    </w:p>
    <w:p>
      <w:r>
        <w:br w:type="page"/>
      </w:r>
    </w:p>
    <w:p>
      <w:pPr>
        <w:pStyle w:val="Heading2"/>
      </w:pPr>
      <w:r>
        <w:rPr>
          <w:color w:val="0B3D61"/>
        </w:rPr>
        <w:t>8. Consumer Adoption: Drivers, Barriers &amp; Use Cases</w:t>
      </w:r>
    </w:p>
    <w:p>
      <w:pPr>
        <w:pStyle w:val="Heading3"/>
      </w:pPr>
      <w:r>
        <w:rPr>
          <w:color w:val="145A8C"/>
        </w:rPr>
        <w:t>8.1 Adoption drivers</w:t>
      </w:r>
    </w:p>
    <w:p>
      <w:pPr>
        <w:pStyle w:val="ListBullet"/>
      </w:pPr>
      <w:r>
        <w:rPr>
          <w:sz w:val="21"/>
        </w:rPr>
        <w:t>Urban congestion. Traffic congestion in cities is the single most consistently cited driver of micromobility adoption, and Technavio identifies it as the primary growth driver for the 2024–2028 period [2]. Congestion raises the time cost of car travel and makes a 25 km/h scooter trip genuinely competitive in dense centres.</w:t>
      </w:r>
    </w:p>
    <w:p>
      <w:pPr>
        <w:pStyle w:val="ListBullet"/>
      </w:pPr>
      <w:r>
        <w:rPr>
          <w:sz w:val="21"/>
        </w:rPr>
        <w:t>Last-mile and first-mile connectivity. E-scooters efficiently cover the access and egress legs of public-transport journeys, and the EU Urban Mobility Observatory frames micromobility as complementary to public transport, describing it as democratising the way people move around cities [1].</w:t>
      </w:r>
    </w:p>
    <w:p>
      <w:pPr>
        <w:pStyle w:val="ListBullet"/>
      </w:pPr>
      <w:r>
        <w:rPr>
          <w:sz w:val="21"/>
        </w:rPr>
        <w:t>Cost-effectiveness. Per-trip costs below car ownership, and frequently below ride-hailing, appeal to budget-conscious commuters, particularly Millennials and Gen Z consumers who already optimise mobility spending [3].</w:t>
      </w:r>
    </w:p>
    <w:p>
      <w:pPr>
        <w:pStyle w:val="ListBullet"/>
      </w:pPr>
      <w:r>
        <w:rPr>
          <w:sz w:val="21"/>
        </w:rPr>
        <w:t>Sustainability policy. The European Green Deal, national emission targets and city-level decarbonisation commitments create policy tailwinds for electric shared mobility, and locally mandated and incentivised programmes act as demand-pull mechanisms [3].</w:t>
      </w:r>
    </w:p>
    <w:p>
      <w:pPr>
        <w:pStyle w:val="ListBullet"/>
      </w:pPr>
      <w:r>
        <w:rPr>
          <w:sz w:val="21"/>
        </w:rPr>
        <w:t>Technology enablement. IoT sensors, GPS tracking and smartphone applications make locating, unlocking, paying for and returning vehicles seamless, reducing the friction that historically constrained other micro-mobility formats [3].</w:t>
      </w:r>
    </w:p>
    <w:p>
      <w:pPr>
        <w:pStyle w:val="ListBullet"/>
      </w:pPr>
      <w:r>
        <w:rPr>
          <w:sz w:val="21"/>
        </w:rPr>
        <w:t>Subscription models and habit formation. Membership programmes convert episodic riders into habitual users and stabilise demand and utilisation, which in turn reduces rebalancing costs [2].</w:t>
      </w:r>
    </w:p>
    <w:p>
      <w:pPr>
        <w:pStyle w:val="Heading3"/>
      </w:pPr>
      <w:r>
        <w:rPr>
          <w:color w:val="145A8C"/>
        </w:rPr>
        <w:t>8.2 Barriers</w:t>
      </w:r>
    </w:p>
    <w:p>
      <w:pPr>
        <w:pStyle w:val="ListBullet"/>
      </w:pPr>
      <w:r>
        <w:rPr>
          <w:sz w:val="21"/>
        </w:rPr>
        <w:t>Safety concerns. Rising accident and injury counts involving riders and pedestrians are the industry's most persistent adoption barrier, driven by inexperienced riders, inadequate infrastructure such as dedicated lanes, and enforcement deficits [1][3][12].</w:t>
      </w:r>
    </w:p>
    <w:p>
      <w:pPr>
        <w:pStyle w:val="ListBullet"/>
      </w:pPr>
      <w:r>
        <w:rPr>
          <w:sz w:val="21"/>
        </w:rPr>
        <w:t>Regulatory uncertainty and fragmentation. Inconsistent national and municipal rules raise compliance cost, create operational limitations, and frighten both capital and riders who cannot predict the legal environment month-to-month [1][3].</w:t>
      </w:r>
    </w:p>
    <w:p>
      <w:pPr>
        <w:pStyle w:val="ListBullet"/>
      </w:pPr>
      <w:r>
        <w:rPr>
          <w:sz w:val="21"/>
        </w:rPr>
        <w:t>Theft, vandalism and maintenance. Vehicle theft and vandalism reduce fleet availability and impose replacement cost, while frequent maintenance needs drive operating spend up [2].</w:t>
      </w:r>
    </w:p>
    <w:p>
      <w:pPr>
        <w:pStyle w:val="ListBullet"/>
      </w:pPr>
      <w:r>
        <w:rPr>
          <w:sz w:val="21"/>
        </w:rPr>
        <w:t>Public-space friction. Disorderly parking harms vulnerable road users including blind and partially sighted people, senior citizens and children, generates municipal and community opposition, and is a leading cause of operating-right withdrawal [1].</w:t>
      </w:r>
    </w:p>
    <w:p>
      <w:pPr>
        <w:pStyle w:val="ListBullet"/>
      </w:pPr>
      <w:r>
        <w:rPr>
          <w:sz w:val="21"/>
        </w:rPr>
        <w:t>Environmental scrutiny. Zero tailpipe emissions do not equate to zero lifecycle impact: short fleet vehicle life, charging logistics and parts disposal are documented sustainability concerns that operators must answer with data and design rather than with claims [1].</w:t>
      </w:r>
    </w:p>
    <w:p>
      <w:pPr>
        <w:pStyle w:val="ListBullet"/>
      </w:pPr>
      <w:r>
        <w:rPr>
          <w:sz w:val="21"/>
        </w:rPr>
        <w:t>COVID legacy. Shared ridership collapsed during the pandemic and recovered unevenly; several markets still show structurally lower commuting demand than in 2019, while ownership segments strengthened [3].</w:t>
      </w:r>
    </w:p>
    <w:p>
      <w:pPr>
        <w:pStyle w:val="Heading3"/>
      </w:pPr>
      <w:r>
        <w:rPr>
          <w:color w:val="145A8C"/>
        </w:rPr>
        <w:t>8.3 Use-case segmentation and where demand concentrates</w:t>
      </w:r>
    </w:p>
    <w:tbl>
      <w:tblPr>
        <w:tblStyle w:val="LightGrid-Accent1"/>
        <w:tblW w:type="auto" w:w="0"/>
        <w:tblLook w:firstColumn="1" w:firstRow="1" w:lastColumn="0" w:lastRow="0" w:noHBand="0" w:noVBand="1" w:val="04A0"/>
      </w:tblPr>
      <w:tblGrid>
        <w:gridCol w:w="2401"/>
        <w:gridCol w:w="2401"/>
        <w:gridCol w:w="2401"/>
        <w:gridCol w:w="2401"/>
      </w:tblGrid>
      <w:tr>
        <w:tc>
          <w:tcPr>
            <w:tcW w:type="dxa" w:w="2401"/>
          </w:tcPr>
          <w:p>
            <w:r>
              <w:rPr>
                <w:b/>
                <w:sz w:val="17"/>
              </w:rPr>
              <w:t>Use case</w:t>
            </w:r>
          </w:p>
        </w:tc>
        <w:tc>
          <w:tcPr>
            <w:tcW w:type="dxa" w:w="2401"/>
          </w:tcPr>
          <w:p>
            <w:r>
              <w:rPr>
                <w:b/>
                <w:sz w:val="17"/>
              </w:rPr>
              <w:t>Typical trip</w:t>
            </w:r>
          </w:p>
        </w:tc>
        <w:tc>
          <w:tcPr>
            <w:tcW w:type="dxa" w:w="2401"/>
          </w:tcPr>
          <w:p>
            <w:r>
              <w:rPr>
                <w:b/>
                <w:sz w:val="17"/>
              </w:rPr>
              <w:t>Model fit</w:t>
            </w:r>
          </w:p>
        </w:tc>
        <w:tc>
          <w:tcPr>
            <w:tcW w:type="dxa" w:w="2401"/>
          </w:tcPr>
          <w:p>
            <w:r>
              <w:rPr>
                <w:b/>
                <w:sz w:val="17"/>
              </w:rPr>
              <w:t>Demand strength</w:t>
            </w:r>
          </w:p>
        </w:tc>
      </w:tr>
      <w:tr>
        <w:tc>
          <w:tcPr>
            <w:tcW w:type="dxa" w:w="2401"/>
          </w:tcPr>
          <w:p>
            <w:r>
              <w:rPr>
                <w:sz w:val="17"/>
              </w:rPr>
              <w:t>Commute access/egress</w:t>
            </w:r>
          </w:p>
        </w:tc>
        <w:tc>
          <w:tcPr>
            <w:tcW w:type="dxa" w:w="2401"/>
          </w:tcPr>
          <w:p>
            <w:r>
              <w:rPr>
                <w:sz w:val="17"/>
              </w:rPr>
              <w:t>1–3 km, transit-anchored, peak hours</w:t>
            </w:r>
          </w:p>
        </w:tc>
        <w:tc>
          <w:tcPr>
            <w:tcW w:type="dxa" w:w="2401"/>
          </w:tcPr>
          <w:p>
            <w:r>
              <w:rPr>
                <w:sz w:val="17"/>
              </w:rPr>
              <w:t>Subscription + transit integration</w:t>
            </w:r>
          </w:p>
        </w:tc>
        <w:tc>
          <w:tcPr>
            <w:tcW w:type="dxa" w:w="2401"/>
          </w:tcPr>
          <w:p>
            <w:r>
              <w:rPr>
                <w:sz w:val="17"/>
              </w:rPr>
              <w:t>High, predictable</w:t>
            </w:r>
          </w:p>
        </w:tc>
      </w:tr>
      <w:tr>
        <w:tc>
          <w:tcPr>
            <w:tcW w:type="dxa" w:w="2401"/>
          </w:tcPr>
          <w:p>
            <w:r>
              <w:rPr>
                <w:sz w:val="17"/>
              </w:rPr>
              <w:t>Point-to-point urban errands</w:t>
            </w:r>
          </w:p>
        </w:tc>
        <w:tc>
          <w:tcPr>
            <w:tcW w:type="dxa" w:w="2401"/>
          </w:tcPr>
          <w:p>
            <w:r>
              <w:rPr>
                <w:sz w:val="17"/>
              </w:rPr>
              <w:t>1–4 km, discretionary</w:t>
            </w:r>
          </w:p>
        </w:tc>
        <w:tc>
          <w:tcPr>
            <w:tcW w:type="dxa" w:w="2401"/>
          </w:tcPr>
          <w:p>
            <w:r>
              <w:rPr>
                <w:sz w:val="17"/>
              </w:rPr>
              <w:t>Per-ride + geofenced zones</w:t>
            </w:r>
          </w:p>
        </w:tc>
        <w:tc>
          <w:tcPr>
            <w:tcW w:type="dxa" w:w="2401"/>
          </w:tcPr>
          <w:p>
            <w:r>
              <w:rPr>
                <w:sz w:val="17"/>
              </w:rPr>
              <w:t>Medium</w:t>
            </w:r>
          </w:p>
        </w:tc>
      </w:tr>
      <w:tr>
        <w:tc>
          <w:tcPr>
            <w:tcW w:type="dxa" w:w="2401"/>
          </w:tcPr>
          <w:p>
            <w:r>
              <w:rPr>
                <w:sz w:val="17"/>
              </w:rPr>
              <w:t>Tourism and leisure</w:t>
            </w:r>
          </w:p>
        </w:tc>
        <w:tc>
          <w:tcPr>
            <w:tcW w:type="dxa" w:w="2401"/>
          </w:tcPr>
          <w:p>
            <w:r>
              <w:rPr>
                <w:sz w:val="17"/>
              </w:rPr>
              <w:t>2–6 km, daytime and evening</w:t>
            </w:r>
          </w:p>
        </w:tc>
        <w:tc>
          <w:tcPr>
            <w:tcW w:type="dxa" w:w="2401"/>
          </w:tcPr>
          <w:p>
            <w:r>
              <w:rPr>
                <w:sz w:val="17"/>
              </w:rPr>
              <w:t>Offline + online channels</w:t>
            </w:r>
          </w:p>
        </w:tc>
        <w:tc>
          <w:tcPr>
            <w:tcW w:type="dxa" w:w="2401"/>
          </w:tcPr>
          <w:p>
            <w:r>
              <w:rPr>
                <w:sz w:val="17"/>
              </w:rPr>
              <w:t>Seasonal high</w:t>
            </w:r>
          </w:p>
        </w:tc>
      </w:tr>
      <w:tr>
        <w:tc>
          <w:tcPr>
            <w:tcW w:type="dxa" w:w="2401"/>
          </w:tcPr>
          <w:p>
            <w:r>
              <w:rPr>
                <w:sz w:val="17"/>
              </w:rPr>
              <w:t>Campus and corporate</w:t>
            </w:r>
          </w:p>
        </w:tc>
        <w:tc>
          <w:tcPr>
            <w:tcW w:type="dxa" w:w="2401"/>
          </w:tcPr>
          <w:p>
            <w:r>
              <w:rPr>
                <w:sz w:val="17"/>
              </w:rPr>
              <w:t>Short repeated journeys on site</w:t>
            </w:r>
          </w:p>
        </w:tc>
        <w:tc>
          <w:tcPr>
            <w:tcW w:type="dxa" w:w="2401"/>
          </w:tcPr>
          <w:p>
            <w:r>
              <w:rPr>
                <w:sz w:val="17"/>
              </w:rPr>
              <w:t>Docked hubs, B2B contracts</w:t>
            </w:r>
          </w:p>
        </w:tc>
        <w:tc>
          <w:tcPr>
            <w:tcW w:type="dxa" w:w="2401"/>
          </w:tcPr>
          <w:p>
            <w:r>
              <w:rPr>
                <w:sz w:val="17"/>
              </w:rPr>
              <w:t>High, captive, low churn</w:t>
            </w:r>
          </w:p>
        </w:tc>
      </w:tr>
      <w:tr>
        <w:tc>
          <w:tcPr>
            <w:tcW w:type="dxa" w:w="2401"/>
          </w:tcPr>
          <w:p>
            <w:r>
              <w:rPr>
                <w:sz w:val="17"/>
              </w:rPr>
              <w:t>Mixed-mode replacement</w:t>
            </w:r>
          </w:p>
        </w:tc>
        <w:tc>
          <w:tcPr>
            <w:tcW w:type="dxa" w:w="2401"/>
          </w:tcPr>
          <w:p>
            <w:r>
              <w:rPr>
                <w:sz w:val="17"/>
              </w:rPr>
              <w:t>Modal shift from short car trips</w:t>
            </w:r>
          </w:p>
        </w:tc>
        <w:tc>
          <w:tcPr>
            <w:tcW w:type="dxa" w:w="2401"/>
          </w:tcPr>
          <w:p>
            <w:r>
              <w:rPr>
                <w:sz w:val="17"/>
              </w:rPr>
              <w:t>Whole-journey price positioning</w:t>
            </w:r>
          </w:p>
        </w:tc>
        <w:tc>
          <w:tcPr>
            <w:tcW w:type="dxa" w:w="2401"/>
          </w:tcPr>
          <w:p>
            <w:r>
              <w:rPr>
                <w:sz w:val="17"/>
              </w:rPr>
              <w:t>Medium, policy-supported</w:t>
            </w:r>
          </w:p>
        </w:tc>
      </w:tr>
    </w:tbl>
    <w:p/>
    <w:p>
      <w:r>
        <w:rPr>
          <w:sz w:val="21"/>
        </w:rPr>
        <w:t>For a mid-size-city entrant, the economically decisive use case is the first one: commute access and egress anchored on public transport. It concentrates demand in predictable peaks, supports subscription pricing, aligns with municipal sustainability priorities, and is the use case least exposed to discretionary-ride recession risk in a downturn.</w:t>
      </w:r>
    </w:p>
    <w:p>
      <w:pPr>
        <w:pStyle w:val="Heading2"/>
      </w:pPr>
      <w:r>
        <w:rPr>
          <w:color w:val="0B3D61"/>
        </w:rPr>
        <w:t>9. Technology, Infrastructure &amp; Environmental Impact</w:t>
      </w:r>
    </w:p>
    <w:p>
      <w:pPr>
        <w:pStyle w:val="Heading3"/>
      </w:pPr>
      <w:r>
        <w:rPr>
          <w:color w:val="145A8C"/>
        </w:rPr>
        <w:t>9.1 Vehicle and fleet technology</w:t>
      </w:r>
    </w:p>
    <w:p>
      <w:r>
        <w:rPr>
          <w:sz w:val="21"/>
        </w:rPr>
        <w:t>Vehicle technology has converged on a set of features that operators now treat as table stakes: GPS tracking, IoT sensors for fleet telemetry, app-based unlock and payment, geofencing to enforce speed and restricted zones, and increasingly swappable batteries. The EU Urban Mobility Observatory notes that while geofencing is the most promising enforcement-and-safety technique, it is mostly deployed in US cities and lacks a common EU-level framework covering both regulation and privacy [1]. For a European entrant this is an opportunity: a compliant, privacy-aware geofencing implementation can be a differentiator precisely because the regulatory framework is not yet settled.</w:t>
      </w:r>
    </w:p>
    <w:p>
      <w:pPr>
        <w:pStyle w:val="Heading3"/>
      </w:pPr>
      <w:r>
        <w:rPr>
          <w:color w:val="145A8C"/>
        </w:rPr>
        <w:t>9.2 Fleet economics and the durability axis</w:t>
      </w:r>
    </w:p>
    <w:p>
      <w:r>
        <w:rPr>
          <w:sz w:val="21"/>
        </w:rPr>
        <w:t>Unit economics are dominated by vehicle lifetime and maintenance. The EU Urban Mobility Observatory reports initial studies indicating fleet-vehicle life spans as low as three months to a year, and identifies the charging-and-maintenance model and disposal of parts as obstacles to the industry's sustainability claims [1]. This is the core engineering trade-off for a manufacturer-entrant with hardware capability: durability raises unit cost but lowers the dominant operating-cost line, and in a capital-constrained environment durability may be the only sustainable differentiation an entrant can control.</w:t>
      </w:r>
    </w:p>
    <w:p>
      <w:pPr>
        <w:pStyle w:val="Heading3"/>
      </w:pPr>
      <w:r>
        <w:rPr>
          <w:color w:val="145A8C"/>
        </w:rPr>
        <w:t>9.3 Charging, parking and public-space infrastructure</w:t>
      </w:r>
    </w:p>
    <w:p>
      <w:r>
        <w:rPr>
          <w:sz w:val="21"/>
        </w:rPr>
        <w:t>Public-space design has become a regulatory battleground. Cities that experienced chaotic free-floating parking are reallocating car parking spaces to micromobility, creating mobility hubs that combine scooter and bicycle parking with car-sharing stations and public-transport integration [1]. These hubs reduce operating cost (fewer rebalancing trips, structured charging), improve rider convenience, and generate municipal goodwill. An entrant that designs around mobility-hub infrastructure rather than occupying streetscape opportunistically is structurally aligned with the regulatory direction of travel.</w:t>
      </w:r>
    </w:p>
    <w:p>
      <w:pPr>
        <w:pStyle w:val="Heading3"/>
      </w:pPr>
      <w:r>
        <w:rPr>
          <w:color w:val="145A8C"/>
        </w:rPr>
        <w:t>9.4 Safety technology</w:t>
      </w:r>
    </w:p>
    <w:p>
      <w:r>
        <w:rPr>
          <w:sz w:val="21"/>
        </w:rPr>
        <w:t>The European Road Safety Charter's assessment of recent e-scooter reforms highlights speed, infrastructure and rider education as the principal levers, and the EU Urban Mobility Observatory's analysis of e-scooter safety, including evidence from the KfV and the Danish Road Safety Agency that ridership patterns involve substitution away from walking and public transport, supports a safety-first engineering posture [1][12]. Practical measures with demonstrated value include limiting speed where vulnerable users share space, geofenced no-ride zones, vehicle design improvements for road grip and stability, crash-data collection, and removing incentives for dangerous behaviour such as per-minute pricing in high-risk zones.</w:t>
      </w:r>
    </w:p>
    <w:p>
      <w:pPr>
        <w:pStyle w:val="Heading3"/>
      </w:pPr>
      <w:r>
        <w:rPr>
          <w:color w:val="145A8C"/>
        </w:rPr>
        <w:t>9.5 Environmental assessment</w:t>
      </w:r>
    </w:p>
    <w:p>
      <w:r>
        <w:rPr>
          <w:sz w:val="21"/>
        </w:rPr>
        <w:t>Micromobility's environmental case is real but not automatic. Vehicles are zero-emission at the point of use, but lifecycle impacts span battery production, short effective lifetimes, charging logistics and end-of-life disposal. An entrant's sustainability case should be built on verifiable operational data — vehicle lifespan, energy source, parts recycling, fleet occupancy — rather than on tailpipe-emission rhetoric. This matters commercially as well as ethically: municipalities under sustainability mandates prefer partners who contribute measurable targets.</w:t>
      </w:r>
    </w:p>
    <w:p>
      <w:r>
        <w:br w:type="page"/>
      </w:r>
    </w:p>
    <w:p>
      <w:pPr>
        <w:pStyle w:val="Heading2"/>
      </w:pPr>
      <w:r>
        <w:rPr>
          <w:color w:val="0B3D61"/>
        </w:rPr>
        <w:t>10. Market Forecast 2024–2028 with Scenario Analysis</w:t>
      </w:r>
    </w:p>
    <w:p>
      <w:pPr>
        <w:pStyle w:val="Heading3"/>
      </w:pPr>
      <w:r>
        <w:rPr>
          <w:color w:val="145A8C"/>
        </w:rPr>
        <w:t>10.1 Base-case forecast by scope</w:t>
      </w:r>
    </w:p>
    <w:tbl>
      <w:tblPr>
        <w:tblStyle w:val="LightGrid-Accent1"/>
        <w:tblW w:type="auto" w:w="0"/>
        <w:tblLook w:firstColumn="1" w:firstRow="1" w:lastColumn="0" w:lastRow="0" w:noHBand="0" w:noVBand="1" w:val="04A0"/>
      </w:tblPr>
      <w:tblGrid>
        <w:gridCol w:w="1921"/>
        <w:gridCol w:w="1921"/>
        <w:gridCol w:w="1921"/>
        <w:gridCol w:w="1921"/>
        <w:gridCol w:w="1921"/>
      </w:tblGrid>
      <w:tr>
        <w:tc>
          <w:tcPr>
            <w:tcW w:type="dxa" w:w="1921"/>
          </w:tcPr>
          <w:p>
            <w:r>
              <w:rPr>
                <w:b/>
                <w:sz w:val="17"/>
              </w:rPr>
              <w:t>Scope</w:t>
            </w:r>
          </w:p>
        </w:tc>
        <w:tc>
          <w:tcPr>
            <w:tcW w:type="dxa" w:w="1921"/>
          </w:tcPr>
          <w:p>
            <w:r>
              <w:rPr>
                <w:b/>
                <w:sz w:val="17"/>
              </w:rPr>
              <w:t>2024 basis</w:t>
            </w:r>
          </w:p>
        </w:tc>
        <w:tc>
          <w:tcPr>
            <w:tcW w:type="dxa" w:w="1921"/>
          </w:tcPr>
          <w:p>
            <w:r>
              <w:rPr>
                <w:b/>
                <w:sz w:val="17"/>
              </w:rPr>
              <w:t>2028 projection</w:t>
            </w:r>
          </w:p>
        </w:tc>
        <w:tc>
          <w:tcPr>
            <w:tcW w:type="dxa" w:w="1921"/>
          </w:tcPr>
          <w:p>
            <w:r>
              <w:rPr>
                <w:b/>
                <w:sz w:val="17"/>
              </w:rPr>
              <w:t>Implied CAGR</w:t>
            </w:r>
          </w:p>
        </w:tc>
        <w:tc>
          <w:tcPr>
            <w:tcW w:type="dxa" w:w="1921"/>
          </w:tcPr>
          <w:p>
            <w:r>
              <w:rPr>
                <w:b/>
                <w:sz w:val="17"/>
              </w:rPr>
              <w:t>Source basis</w:t>
            </w:r>
          </w:p>
        </w:tc>
      </w:tr>
      <w:tr>
        <w:tc>
          <w:tcPr>
            <w:tcW w:type="dxa" w:w="1921"/>
          </w:tcPr>
          <w:p>
            <w:r>
              <w:rPr>
                <w:sz w:val="17"/>
              </w:rPr>
              <w:t>Micro-mobility, broad (Technavio)</w:t>
            </w:r>
          </w:p>
        </w:tc>
        <w:tc>
          <w:tcPr>
            <w:tcW w:type="dxa" w:w="1921"/>
          </w:tcPr>
          <w:p>
            <w:r>
              <w:rPr>
                <w:sz w:val="17"/>
              </w:rPr>
              <w:t>2018–2022 historic base</w:t>
            </w:r>
          </w:p>
        </w:tc>
        <w:tc>
          <w:tcPr>
            <w:tcW w:type="dxa" w:w="1921"/>
          </w:tcPr>
          <w:p>
            <w:r>
              <w:rPr>
                <w:sz w:val="17"/>
              </w:rPr>
              <w:t>+USD 130.47 bn cumulative added 2024–2028</w:t>
            </w:r>
          </w:p>
        </w:tc>
        <w:tc>
          <w:tcPr>
            <w:tcW w:type="dxa" w:w="1921"/>
          </w:tcPr>
          <w:p>
            <w:r>
              <w:rPr>
                <w:sz w:val="17"/>
              </w:rPr>
              <w:t>23.31%</w:t>
            </w:r>
          </w:p>
        </w:tc>
        <w:tc>
          <w:tcPr>
            <w:tcW w:type="dxa" w:w="1921"/>
          </w:tcPr>
          <w:p>
            <w:r>
              <w:rPr>
                <w:sz w:val="17"/>
              </w:rPr>
              <w:t>Technavio [2]</w:t>
            </w:r>
          </w:p>
        </w:tc>
      </w:tr>
      <w:tr>
        <w:tc>
          <w:tcPr>
            <w:tcW w:type="dxa" w:w="1921"/>
          </w:tcPr>
          <w:p>
            <w:r>
              <w:rPr>
                <w:sz w:val="17"/>
              </w:rPr>
              <w:t>E-scooter sharing revenue</w:t>
            </w:r>
          </w:p>
        </w:tc>
        <w:tc>
          <w:tcPr>
            <w:tcW w:type="dxa" w:w="1921"/>
          </w:tcPr>
          <w:p>
            <w:r>
              <w:rPr>
                <w:sz w:val="17"/>
              </w:rPr>
              <w:t>~USD 1.0 bn (2023–2024 interpolated)</w:t>
            </w:r>
          </w:p>
        </w:tc>
        <w:tc>
          <w:tcPr>
            <w:tcW w:type="dxa" w:w="1921"/>
          </w:tcPr>
          <w:p>
            <w:r>
              <w:rPr>
                <w:sz w:val="17"/>
              </w:rPr>
              <w:t>~USD 2.0–2.3 bn (interpolated)</w:t>
            </w:r>
          </w:p>
        </w:tc>
        <w:tc>
          <w:tcPr>
            <w:tcW w:type="dxa" w:w="1921"/>
          </w:tcPr>
          <w:p>
            <w:r>
              <w:rPr>
                <w:sz w:val="17"/>
              </w:rPr>
              <w:t>20.0%</w:t>
            </w:r>
          </w:p>
        </w:tc>
        <w:tc>
          <w:tcPr>
            <w:tcW w:type="dxa" w:w="1921"/>
          </w:tcPr>
          <w:p>
            <w:r>
              <w:rPr>
                <w:sz w:val="17"/>
              </w:rPr>
              <w:t>Nova One Advisor [3]</w:t>
            </w:r>
          </w:p>
        </w:tc>
      </w:tr>
      <w:tr>
        <w:tc>
          <w:tcPr>
            <w:tcW w:type="dxa" w:w="1921"/>
          </w:tcPr>
          <w:p>
            <w:r>
              <w:rPr>
                <w:sz w:val="17"/>
              </w:rPr>
              <w:t>Micro-mobility, broad (Market.us)</w:t>
            </w:r>
          </w:p>
        </w:tc>
        <w:tc>
          <w:tcPr>
            <w:tcW w:type="dxa" w:w="1921"/>
          </w:tcPr>
          <w:p>
            <w:r>
              <w:rPr>
                <w:sz w:val="17"/>
              </w:rPr>
              <w:t>~USD 3.6 bn (2024)</w:t>
            </w:r>
          </w:p>
        </w:tc>
        <w:tc>
          <w:tcPr>
            <w:tcW w:type="dxa" w:w="1921"/>
          </w:tcPr>
          <w:p>
            <w:r>
              <w:rPr>
                <w:sz w:val="17"/>
              </w:rPr>
              <w:t>~USD 5.8 bn (interpolated)</w:t>
            </w:r>
          </w:p>
        </w:tc>
        <w:tc>
          <w:tcPr>
            <w:tcW w:type="dxa" w:w="1921"/>
          </w:tcPr>
          <w:p>
            <w:r>
              <w:rPr>
                <w:sz w:val="17"/>
              </w:rPr>
              <w:t>12.7%</w:t>
            </w:r>
          </w:p>
        </w:tc>
        <w:tc>
          <w:tcPr>
            <w:tcW w:type="dxa" w:w="1921"/>
          </w:tcPr>
          <w:p>
            <w:r>
              <w:rPr>
                <w:sz w:val="17"/>
              </w:rPr>
              <w:t>Market.us [4]</w:t>
            </w:r>
          </w:p>
        </w:tc>
      </w:tr>
      <w:tr>
        <w:tc>
          <w:tcPr>
            <w:tcW w:type="dxa" w:w="1921"/>
          </w:tcPr>
          <w:p>
            <w:r>
              <w:rPr>
                <w:sz w:val="17"/>
              </w:rPr>
              <w:t>Latin America electric scooter</w:t>
            </w:r>
          </w:p>
        </w:tc>
        <w:tc>
          <w:tcPr>
            <w:tcW w:type="dxa" w:w="1921"/>
          </w:tcPr>
          <w:p>
            <w:r>
              <w:rPr>
                <w:sz w:val="17"/>
              </w:rPr>
              <w:t>USD 2.45 bn (2024)</w:t>
            </w:r>
          </w:p>
        </w:tc>
        <w:tc>
          <w:tcPr>
            <w:tcW w:type="dxa" w:w="1921"/>
          </w:tcPr>
          <w:p>
            <w:r>
              <w:rPr>
                <w:sz w:val="17"/>
              </w:rPr>
              <w:t>~USD 3.9 bn (interpolated)</w:t>
            </w:r>
          </w:p>
        </w:tc>
        <w:tc>
          <w:tcPr>
            <w:tcW w:type="dxa" w:w="1921"/>
          </w:tcPr>
          <w:p>
            <w:r>
              <w:rPr>
                <w:sz w:val="17"/>
              </w:rPr>
              <w:t>9.60%</w:t>
            </w:r>
          </w:p>
        </w:tc>
        <w:tc>
          <w:tcPr>
            <w:tcW w:type="dxa" w:w="1921"/>
          </w:tcPr>
          <w:p>
            <w:r>
              <w:rPr>
                <w:sz w:val="17"/>
              </w:rPr>
              <w:t>IMARC [7]</w:t>
            </w:r>
          </w:p>
        </w:tc>
      </w:tr>
    </w:tbl>
    <w:p/>
    <w:p>
      <w:r>
        <w:rPr>
          <w:sz w:val="16"/>
        </w:rPr>
        <w:t>2028 values for the sharing and Market.us scopes are the report author's interpolations of the cited CAGRs and are labelled as such. The only direct 2028 statement in the sources is Technavio's cumulative absolute-growth framing.</w:t>
      </w:r>
    </w:p>
    <w:p>
      <w:pPr>
        <w:pStyle w:val="Heading3"/>
      </w:pPr>
      <w:r>
        <w:rPr>
          <w:color w:val="145A8C"/>
        </w:rPr>
        <w:t>10.2 Scenario analysis</w:t>
      </w:r>
    </w:p>
    <w:p>
      <w:r>
        <w:rPr>
          <w:sz w:val="21"/>
        </w:rPr>
        <w:t>Scenario A — "Regulatory squeeze" (probability ~25%). A widening of the Paris precedent: several additional European capitals or large cities withdraw shared-fleet operating rights, national frameworks mandate rider registration and fleet caps, and parking rules tighten to a degree that raises operating cost per vehicle materially. Under this scenario, e-scooter sharing growth compresses to low-double-digit CAGR, several mid-size fleets exit, and permit access becomes the industry's binding constraint. Implication for the client: a compliance-native entrant with docked/hybrid deployment and deep city relationships can acquire share precisely because weaker operators exit; operating-right scarcity raises the value of holding permits.</w:t>
      </w:r>
    </w:p>
    <w:p>
      <w:r>
        <w:rPr>
          <w:sz w:val="21"/>
        </w:rPr>
        <w:t>Scenario B — "Controlled expansion" (base case, probability ~55%). Regulation continues to mature without further headline bans; mid-size cities adopt permissive-but-managed permitting; subscription models and multimodal integration raise utilization; and the segment grows near the 20% trajectory. Implication: the identified mid-size-city whitespace materialises, entry is viable in three to five cities in a staged sequence, and first-mover permit advantage is durable.</w:t>
      </w:r>
    </w:p>
    <w:p>
      <w:r>
        <w:rPr>
          <w:sz w:val="21"/>
        </w:rPr>
        <w:t>Scenario C — "Policy tailwind" (probability ~20%). The EU adopts harmonised micromobility rules that legitimise the sector, parking infrastructure improves through mobility-hub investment, public acceptance rises, and both ownership and sharing accelerate beyond 23% CAGR with APAC leading and LATAM following. Implication: early movers with strong city partnerships and hardware supply capture disproportionate share; battery and hardware supply partnerships become strategically important; and a successful European entrant gains a credible platform for LATAM expansion.</w:t>
      </w:r>
    </w:p>
    <w:p>
      <w:pPr>
        <w:pStyle w:val="Heading3"/>
      </w:pPr>
      <w:r>
        <w:rPr>
          <w:color w:val="145A8C"/>
        </w:rPr>
        <w:t>10.3 Forecast implications for the client</w:t>
      </w:r>
    </w:p>
    <w:p>
      <w:r>
        <w:rPr>
          <w:sz w:val="21"/>
        </w:rPr>
        <w:t>Across all three scenarios, the European mid-tier urban market remains the most attractive near-term target for the client's stated thesis, differing only in degree between scenarios. The scenarios differ most in sequencing: under Scenario A, the client should prioritise permit acquisition and compliance capability over fleet scale; under Scenario B, staged fleet rollout on subscription economics; under Scenario C, faster expansion and early LATAM optionality. A prudent plan embeds all three as conditional branches on a two-to-three-year horizon.</w:t>
      </w:r>
    </w:p>
    <w:p>
      <w:r>
        <w:br w:type="page"/>
      </w:r>
    </w:p>
    <w:p>
      <w:pPr>
        <w:pStyle w:val="Heading2"/>
      </w:pPr>
      <w:r>
        <w:rPr>
          <w:color w:val="0B3D61"/>
        </w:rPr>
        <w:t>11. Strategic Recommendations for a New Market Entrant</w:t>
      </w:r>
    </w:p>
    <w:p>
      <w:pPr>
        <w:pStyle w:val="ListNumber"/>
      </w:pPr>
      <w:r>
        <w:rPr>
          <w:sz w:val="21"/>
        </w:rPr>
        <w:t>Select mid-size cities with a demonstrable mobility gap and open regulatory posture. Prioritise European cities in the 100k–500k population band that lack an active shared micromobility operator or sit below the incumbents' attention threshold, and whose local authorities are actively seeking last-mile solutions. Wherever possible, verify the current operator inventory directly with the authority rather than relying on marketing claims. [2][3]</w:t>
      </w:r>
    </w:p>
    <w:p>
      <w:pPr>
        <w:pStyle w:val="ListNumber"/>
      </w:pPr>
      <w:r>
        <w:rPr>
          <w:sz w:val="21"/>
        </w:rPr>
        <w:t>Adopt a permission-first, station-bound or hybrid deployment model. Docked/hybrid deployment resolves the leading political friction point (disorderly parking), aligns with the mobility-hub infrastructure trend, and materially shortens permitting timelines. Pair with geofenced speed and no-ride-zone enforcement, which cities increasingly expect and which remains an EU-level regulatory opening. [1][3]</w:t>
      </w:r>
    </w:p>
    <w:p>
      <w:pPr>
        <w:pStyle w:val="ListNumber"/>
      </w:pPr>
      <w:r>
        <w:rPr>
          <w:sz w:val="21"/>
        </w:rPr>
        <w:t>Build compliance as a competitive capability, not a cost centre. Establish a city-engagement function that approaches authorities early, drafts charters of good practice in the Paris/Antwerp precedent, publishes operating data transparently, and holds standing relationships with municipal transport departments. Regulatory trust is the moat that survives the squeeze scenario. [1]</w:t>
      </w:r>
    </w:p>
    <w:p>
      <w:pPr>
        <w:pStyle w:val="ListNumber"/>
      </w:pPr>
      <w:r>
        <w:rPr>
          <w:sz w:val="21"/>
        </w:rPr>
        <w:t>Anchor revenue in subscription products and multimodal integration. Lead with monthly membership anchored on commute access/egress, integrate with public transit and MaaS platforms, and use per-ride pricing only as a flexible acquisition tier. This converts the industry's costliest weakness — demand volatility — into predictable utilisation. [2][3]</w:t>
      </w:r>
    </w:p>
    <w:p>
      <w:pPr>
        <w:pStyle w:val="ListNumber"/>
      </w:pPr>
      <w:r>
        <w:rPr>
          <w:sz w:val="21"/>
        </w:rPr>
        <w:t>Design the fleet for durability and maintenance economics from day one. Prioritise vehicle life, swappable batteries and low maintenance over purchase price, because fleet lifetime is the dominant operating-cost line and the strongest controllable differentiator. Engage mobility-hub charging to cut rebalancing cost. [1]</w:t>
      </w:r>
    </w:p>
    <w:p>
      <w:pPr>
        <w:pStyle w:val="ListNumber"/>
      </w:pPr>
      <w:r>
        <w:rPr>
          <w:sz w:val="21"/>
        </w:rPr>
        <w:t>Differentiate on verifiable safety and data transparency. Publish safety analytics, deploy compliant speed enforcement, require and promote helmet use where rules mandate it, and provide city planners trip and congestion data. Safety concern converts from adoption barrier to competitive advantage when it is backed by data rather than claims. [1][12]</w:t>
      </w:r>
    </w:p>
    <w:p>
      <w:pPr>
        <w:pStyle w:val="ListNumber"/>
      </w:pPr>
      <w:r>
        <w:rPr>
          <w:sz w:val="21"/>
        </w:rPr>
        <w:t>Treat LATAM as a phased ownership/distribution opportunity and APAC as partnerships only. LATAM's ownership-led market favours hardware distribution, assembly or local operating partnerships over greenfield shared fleets; APAC's scale is attractive but dominated by strong local champions aligned with state programmes. Sequence both after European proof. [5][7][8]</w:t>
      </w:r>
    </w:p>
    <w:p>
      <w:pPr>
        <w:pStyle w:val="ListNumber"/>
      </w:pPr>
      <w:r>
        <w:rPr>
          <w:sz w:val="21"/>
        </w:rPr>
        <w:t>Keep the UK on the regulatory watchlist. With ridable e-scooters illegal on public roads outside trials, no capital should be committed; monitor the government's consultation and trial outcomes for a first-mover option that, if it opens, will reward exactly the compliance record the client is building. [1]</w:t>
      </w:r>
    </w:p>
    <w:p>
      <w:pPr>
        <w:pStyle w:val="Heading3"/>
      </w:pPr>
      <w:r>
        <w:rPr>
          <w:color w:val="145A8C"/>
        </w:rPr>
        <w:t>11.1 Suggested 24-month entry roadmap</w:t>
      </w:r>
    </w:p>
    <w:tbl>
      <w:tblPr>
        <w:tblStyle w:val="LightGrid-Accent1"/>
        <w:tblW w:type="auto" w:w="0"/>
        <w:tblLook w:firstColumn="1" w:firstRow="1" w:lastColumn="0" w:lastRow="0" w:noHBand="0" w:noVBand="1" w:val="04A0"/>
      </w:tblPr>
      <w:tblGrid>
        <w:gridCol w:w="2401"/>
        <w:gridCol w:w="2401"/>
        <w:gridCol w:w="2401"/>
        <w:gridCol w:w="2401"/>
      </w:tblGrid>
      <w:tr>
        <w:tc>
          <w:tcPr>
            <w:tcW w:type="dxa" w:w="2401"/>
          </w:tcPr>
          <w:p>
            <w:r>
              <w:rPr>
                <w:b/>
                <w:sz w:val="17"/>
              </w:rPr>
              <w:t>Phase</w:t>
            </w:r>
          </w:p>
        </w:tc>
        <w:tc>
          <w:tcPr>
            <w:tcW w:type="dxa" w:w="2401"/>
          </w:tcPr>
          <w:p>
            <w:r>
              <w:rPr>
                <w:b/>
                <w:sz w:val="17"/>
              </w:rPr>
              <w:t>Focus</w:t>
            </w:r>
          </w:p>
        </w:tc>
        <w:tc>
          <w:tcPr>
            <w:tcW w:type="dxa" w:w="2401"/>
          </w:tcPr>
          <w:p>
            <w:r>
              <w:rPr>
                <w:b/>
                <w:sz w:val="17"/>
              </w:rPr>
              <w:t>Key actions</w:t>
            </w:r>
          </w:p>
        </w:tc>
        <w:tc>
          <w:tcPr>
            <w:tcW w:type="dxa" w:w="2401"/>
          </w:tcPr>
          <w:p>
            <w:r>
              <w:rPr>
                <w:b/>
                <w:sz w:val="17"/>
              </w:rPr>
              <w:t>Exit criteria / decisions</w:t>
            </w:r>
          </w:p>
        </w:tc>
      </w:tr>
      <w:tr>
        <w:tc>
          <w:tcPr>
            <w:tcW w:type="dxa" w:w="2401"/>
          </w:tcPr>
          <w:p>
            <w:r>
              <w:rPr>
                <w:sz w:val="17"/>
              </w:rPr>
              <w:t>Months 0–3</w:t>
            </w:r>
          </w:p>
        </w:tc>
        <w:tc>
          <w:tcPr>
            <w:tcW w:type="dxa" w:w="2401"/>
          </w:tcPr>
          <w:p>
            <w:r>
              <w:rPr>
                <w:sz w:val="17"/>
              </w:rPr>
              <w:t>City selection &amp; permits</w:t>
            </w:r>
          </w:p>
        </w:tc>
        <w:tc>
          <w:tcPr>
            <w:tcW w:type="dxa" w:w="2401"/>
          </w:tcPr>
          <w:p>
            <w:r>
              <w:rPr>
                <w:sz w:val="17"/>
              </w:rPr>
              <w:t>Screen 10–15 mid-size EU cities against mobility gap, regulatory posture and incumbent presence; engage 3–5 authorities; secure letters of intent or permits and fleet caps</w:t>
            </w:r>
          </w:p>
        </w:tc>
        <w:tc>
          <w:tcPr>
            <w:tcW w:type="dxa" w:w="2401"/>
          </w:tcPr>
          <w:p>
            <w:r>
              <w:rPr>
                <w:sz w:val="17"/>
              </w:rPr>
              <w:t>Permit secured in at least 2 cities; otherwise hold</w:t>
            </w:r>
          </w:p>
        </w:tc>
      </w:tr>
      <w:tr>
        <w:tc>
          <w:tcPr>
            <w:tcW w:type="dxa" w:w="2401"/>
          </w:tcPr>
          <w:p>
            <w:r>
              <w:rPr>
                <w:sz w:val="17"/>
              </w:rPr>
              <w:t>Months 3–9</w:t>
            </w:r>
          </w:p>
        </w:tc>
        <w:tc>
          <w:tcPr>
            <w:tcW w:type="dxa" w:w="2401"/>
          </w:tcPr>
          <w:p>
            <w:r>
              <w:rPr>
                <w:sz w:val="17"/>
              </w:rPr>
              <w:t>Pilot launch (2–3 cities)</w:t>
            </w:r>
          </w:p>
        </w:tc>
        <w:tc>
          <w:tcPr>
            <w:tcW w:type="dxa" w:w="2401"/>
          </w:tcPr>
          <w:p>
            <w:r>
              <w:rPr>
                <w:sz w:val="17"/>
              </w:rPr>
              <w:t>Deploy hybrid station-bound+free-floating fleets with geofencing; launch subscription tiers; instrument unit economics per vehicle</w:t>
            </w:r>
          </w:p>
        </w:tc>
        <w:tc>
          <w:tcPr>
            <w:tcW w:type="dxa" w:w="2401"/>
          </w:tcPr>
          <w:p>
            <w:r>
              <w:rPr>
                <w:sz w:val="17"/>
              </w:rPr>
              <w:t>Unit economics within plan at month 9; otherwise pivot model</w:t>
            </w:r>
          </w:p>
        </w:tc>
      </w:tr>
      <w:tr>
        <w:tc>
          <w:tcPr>
            <w:tcW w:type="dxa" w:w="2401"/>
          </w:tcPr>
          <w:p>
            <w:r>
              <w:rPr>
                <w:sz w:val="17"/>
              </w:rPr>
              <w:t>Months 9–18</w:t>
            </w:r>
          </w:p>
        </w:tc>
        <w:tc>
          <w:tcPr>
            <w:tcW w:type="dxa" w:w="2401"/>
          </w:tcPr>
          <w:p>
            <w:r>
              <w:rPr>
                <w:sz w:val="17"/>
              </w:rPr>
              <w:t>Scale what works</w:t>
            </w:r>
          </w:p>
        </w:tc>
        <w:tc>
          <w:tcPr>
            <w:tcW w:type="dxa" w:w="2401"/>
          </w:tcPr>
          <w:p>
            <w:r>
              <w:rPr>
                <w:sz w:val="17"/>
              </w:rPr>
              <w:t>Expand to 8–12 cities; integrate with transit/MaaS; negotiate hardware supply and battery partnerships; publish safety data</w:t>
            </w:r>
          </w:p>
        </w:tc>
        <w:tc>
          <w:tcPr>
            <w:tcW w:type="dxa" w:w="2401"/>
          </w:tcPr>
          <w:p>
            <w:r>
              <w:rPr>
                <w:sz w:val="17"/>
              </w:rPr>
              <w:t>Positive contribution margin per city for 2 consecutive quarters</w:t>
            </w:r>
          </w:p>
        </w:tc>
      </w:tr>
      <w:tr>
        <w:tc>
          <w:tcPr>
            <w:tcW w:type="dxa" w:w="2401"/>
          </w:tcPr>
          <w:p>
            <w:r>
              <w:rPr>
                <w:sz w:val="17"/>
              </w:rPr>
              <w:t>Months 18–24</w:t>
            </w:r>
          </w:p>
        </w:tc>
        <w:tc>
          <w:tcPr>
            <w:tcW w:type="dxa" w:w="2401"/>
          </w:tcPr>
          <w:p>
            <w:r>
              <w:rPr>
                <w:sz w:val="17"/>
              </w:rPr>
              <w:t>Optionality</w:t>
            </w:r>
          </w:p>
        </w:tc>
        <w:tc>
          <w:tcPr>
            <w:tcW w:type="dxa" w:w="2401"/>
          </w:tcPr>
          <w:p>
            <w:r>
              <w:rPr>
                <w:sz w:val="17"/>
              </w:rPr>
              <w:t>Evaluate LATAM distribution partnerships; assess UK entry on regulatory outcome; consider APAC licensing</w:t>
            </w:r>
          </w:p>
        </w:tc>
        <w:tc>
          <w:tcPr>
            <w:tcW w:type="dxa" w:w="2401"/>
          </w:tcPr>
          <w:p>
            <w:r>
              <w:rPr>
                <w:sz w:val="17"/>
              </w:rPr>
              <w:t>Decision gate driven by Scenario A/B/C conditions</w:t>
            </w:r>
          </w:p>
        </w:tc>
      </w:tr>
    </w:tbl>
    <w:p/>
    <w:p>
      <w:pPr>
        <w:pStyle w:val="Heading2"/>
      </w:pPr>
      <w:r>
        <w:rPr>
          <w:color w:val="0B3D61"/>
        </w:rPr>
        <w:t>12. Risk Assessment &amp; Mitigation</w:t>
      </w:r>
    </w:p>
    <w:tbl>
      <w:tblPr>
        <w:tblStyle w:val="LightGrid-Accent1"/>
        <w:tblW w:type="auto" w:w="0"/>
        <w:tblLook w:firstColumn="1" w:firstRow="1" w:lastColumn="0" w:lastRow="0" w:noHBand="0" w:noVBand="1" w:val="04A0"/>
      </w:tblPr>
      <w:tblGrid>
        <w:gridCol w:w="2401"/>
        <w:gridCol w:w="2401"/>
        <w:gridCol w:w="2401"/>
        <w:gridCol w:w="2401"/>
      </w:tblGrid>
      <w:tr>
        <w:tc>
          <w:tcPr>
            <w:tcW w:type="dxa" w:w="2401"/>
          </w:tcPr>
          <w:p>
            <w:r>
              <w:rPr>
                <w:b/>
                <w:sz w:val="17"/>
              </w:rPr>
              <w:t>Risk</w:t>
            </w:r>
          </w:p>
        </w:tc>
        <w:tc>
          <w:tcPr>
            <w:tcW w:type="dxa" w:w="2401"/>
          </w:tcPr>
          <w:p>
            <w:r>
              <w:rPr>
                <w:b/>
                <w:sz w:val="17"/>
              </w:rPr>
              <w:t>Likelihood</w:t>
            </w:r>
          </w:p>
        </w:tc>
        <w:tc>
          <w:tcPr>
            <w:tcW w:type="dxa" w:w="2401"/>
          </w:tcPr>
          <w:p>
            <w:r>
              <w:rPr>
                <w:b/>
                <w:sz w:val="17"/>
              </w:rPr>
              <w:t>Impact</w:t>
            </w:r>
          </w:p>
        </w:tc>
        <w:tc>
          <w:tcPr>
            <w:tcW w:type="dxa" w:w="2401"/>
          </w:tcPr>
          <w:p>
            <w:r>
              <w:rPr>
                <w:b/>
                <w:sz w:val="17"/>
              </w:rPr>
              <w:t>Mitigation</w:t>
            </w:r>
          </w:p>
        </w:tc>
      </w:tr>
      <w:tr>
        <w:tc>
          <w:tcPr>
            <w:tcW w:type="dxa" w:w="2401"/>
          </w:tcPr>
          <w:p>
            <w:r>
              <w:rPr>
                <w:sz w:val="17"/>
              </w:rPr>
              <w:t>Municipal operating-right withdrawal (Paris precedent)</w:t>
            </w:r>
          </w:p>
        </w:tc>
        <w:tc>
          <w:tcPr>
            <w:tcW w:type="dxa" w:w="2401"/>
          </w:tcPr>
          <w:p>
            <w:r>
              <w:rPr>
                <w:sz w:val="17"/>
              </w:rPr>
              <w:t>Medium</w:t>
            </w:r>
          </w:p>
        </w:tc>
        <w:tc>
          <w:tcPr>
            <w:tcW w:type="dxa" w:w="2401"/>
          </w:tcPr>
          <w:p>
            <w:r>
              <w:rPr>
                <w:sz w:val="17"/>
              </w:rPr>
              <w:t>Critical — market exit</w:t>
            </w:r>
          </w:p>
        </w:tc>
        <w:tc>
          <w:tcPr>
            <w:tcW w:type="dxa" w:w="2401"/>
          </w:tcPr>
          <w:p>
            <w:r>
              <w:rPr>
                <w:sz w:val="17"/>
              </w:rPr>
              <w:t>Station-bound/hybrid deployment; early city engagement; charter-of-practice commitments; diversify permit base across multiple cities</w:t>
            </w:r>
          </w:p>
        </w:tc>
      </w:tr>
      <w:tr>
        <w:tc>
          <w:tcPr>
            <w:tcW w:type="dxa" w:w="2401"/>
          </w:tcPr>
          <w:p>
            <w:r>
              <w:rPr>
                <w:sz w:val="17"/>
              </w:rPr>
              <w:t>Regulatory fragmentation raising compliance cost</w:t>
            </w:r>
          </w:p>
        </w:tc>
        <w:tc>
          <w:tcPr>
            <w:tcW w:type="dxa" w:w="2401"/>
          </w:tcPr>
          <w:p>
            <w:r>
              <w:rPr>
                <w:sz w:val="17"/>
              </w:rPr>
              <w:t>High</w:t>
            </w:r>
          </w:p>
        </w:tc>
        <w:tc>
          <w:tcPr>
            <w:tcW w:type="dxa" w:w="2401"/>
          </w:tcPr>
          <w:p>
            <w:r>
              <w:rPr>
                <w:sz w:val="17"/>
              </w:rPr>
              <w:t>High</w:t>
            </w:r>
          </w:p>
        </w:tc>
        <w:tc>
          <w:tcPr>
            <w:tcW w:type="dxa" w:w="2401"/>
          </w:tcPr>
          <w:p>
            <w:r>
              <w:rPr>
                <w:sz w:val="17"/>
              </w:rPr>
              <w:t>Dedicated city-level compliance function; modular compliance tooling; participation in EU consultation</w:t>
            </w:r>
          </w:p>
        </w:tc>
      </w:tr>
      <w:tr>
        <w:tc>
          <w:tcPr>
            <w:tcW w:type="dxa" w:w="2401"/>
          </w:tcPr>
          <w:p>
            <w:r>
              <w:rPr>
                <w:sz w:val="17"/>
              </w:rPr>
              <w:t>Unit economics under pressure from theft, vandalism, maintenance</w:t>
            </w:r>
          </w:p>
        </w:tc>
        <w:tc>
          <w:tcPr>
            <w:tcW w:type="dxa" w:w="2401"/>
          </w:tcPr>
          <w:p>
            <w:r>
              <w:rPr>
                <w:sz w:val="17"/>
              </w:rPr>
              <w:t>High</w:t>
            </w:r>
          </w:p>
        </w:tc>
        <w:tc>
          <w:tcPr>
            <w:tcW w:type="dxa" w:w="2401"/>
          </w:tcPr>
          <w:p>
            <w:r>
              <w:rPr>
                <w:sz w:val="17"/>
              </w:rPr>
              <w:t>High</w:t>
            </w:r>
          </w:p>
        </w:tc>
        <w:tc>
          <w:tcPr>
            <w:tcW w:type="dxa" w:w="2401"/>
          </w:tcPr>
          <w:p>
            <w:r>
              <w:rPr>
                <w:sz w:val="17"/>
              </w:rPr>
              <w:t>Durability-first design; swappable batteries; mobility-hub charging; dense subscription utilisation</w:t>
            </w:r>
          </w:p>
        </w:tc>
      </w:tr>
      <w:tr>
        <w:tc>
          <w:tcPr>
            <w:tcW w:type="dxa" w:w="2401"/>
          </w:tcPr>
          <w:p>
            <w:r>
              <w:rPr>
                <w:sz w:val="17"/>
              </w:rPr>
              <w:t>Safety incidents triggering public backlash</w:t>
            </w:r>
          </w:p>
        </w:tc>
        <w:tc>
          <w:tcPr>
            <w:tcW w:type="dxa" w:w="2401"/>
          </w:tcPr>
          <w:p>
            <w:r>
              <w:rPr>
                <w:sz w:val="17"/>
              </w:rPr>
              <w:t>Medium</w:t>
            </w:r>
          </w:p>
        </w:tc>
        <w:tc>
          <w:tcPr>
            <w:tcW w:type="dxa" w:w="2401"/>
          </w:tcPr>
          <w:p>
            <w:r>
              <w:rPr>
                <w:sz w:val="17"/>
              </w:rPr>
              <w:t>High</w:t>
            </w:r>
          </w:p>
        </w:tc>
        <w:tc>
          <w:tcPr>
            <w:tcW w:type="dxa" w:w="2401"/>
          </w:tcPr>
          <w:p>
            <w:r>
              <w:rPr>
                <w:sz w:val="17"/>
              </w:rPr>
              <w:t>Geofenced speed/no-ride zones; crash-data programme; rider education; publish safety analytics</w:t>
            </w:r>
          </w:p>
        </w:tc>
      </w:tr>
      <w:tr>
        <w:tc>
          <w:tcPr>
            <w:tcW w:type="dxa" w:w="2401"/>
          </w:tcPr>
          <w:p>
            <w:r>
              <w:rPr>
                <w:sz w:val="17"/>
              </w:rPr>
              <w:t>Incumbent operators re-entering chosen mid-size cities</w:t>
            </w:r>
          </w:p>
        </w:tc>
        <w:tc>
          <w:tcPr>
            <w:tcW w:type="dxa" w:w="2401"/>
          </w:tcPr>
          <w:p>
            <w:r>
              <w:rPr>
                <w:sz w:val="17"/>
              </w:rPr>
              <w:t>Medium</w:t>
            </w:r>
          </w:p>
        </w:tc>
        <w:tc>
          <w:tcPr>
            <w:tcW w:type="dxa" w:w="2401"/>
          </w:tcPr>
          <w:p>
            <w:r>
              <w:rPr>
                <w:sz w:val="17"/>
              </w:rPr>
              <w:t>Medium</w:t>
            </w:r>
          </w:p>
        </w:tc>
        <w:tc>
          <w:tcPr>
            <w:tcW w:type="dxa" w:w="2401"/>
          </w:tcPr>
          <w:p>
            <w:r>
              <w:rPr>
                <w:sz w:val="17"/>
              </w:rPr>
              <w:t>Permit speed and city relationships; subscription lock-in; differentiated compliance posture</w:t>
            </w:r>
          </w:p>
        </w:tc>
      </w:tr>
      <w:tr>
        <w:tc>
          <w:tcPr>
            <w:tcW w:type="dxa" w:w="2401"/>
          </w:tcPr>
          <w:p>
            <w:r>
              <w:rPr>
                <w:sz w:val="17"/>
              </w:rPr>
              <w:t>Economic downturn reducing discretionary ride spend</w:t>
            </w:r>
          </w:p>
        </w:tc>
        <w:tc>
          <w:tcPr>
            <w:tcW w:type="dxa" w:w="2401"/>
          </w:tcPr>
          <w:p>
            <w:r>
              <w:rPr>
                <w:sz w:val="17"/>
              </w:rPr>
              <w:t>Medium</w:t>
            </w:r>
          </w:p>
        </w:tc>
        <w:tc>
          <w:tcPr>
            <w:tcW w:type="dxa" w:w="2401"/>
          </w:tcPr>
          <w:p>
            <w:r>
              <w:rPr>
                <w:sz w:val="17"/>
              </w:rPr>
              <w:t>Medium</w:t>
            </w:r>
          </w:p>
        </w:tc>
        <w:tc>
          <w:tcPr>
            <w:tcW w:type="dxa" w:w="2401"/>
          </w:tcPr>
          <w:p>
            <w:r>
              <w:rPr>
                <w:sz w:val="17"/>
              </w:rPr>
              <w:t>Commute-anchored subscription revenue; transit-integration contracts; low price elasticity on subscriptions</w:t>
            </w:r>
          </w:p>
        </w:tc>
      </w:tr>
      <w:tr>
        <w:tc>
          <w:tcPr>
            <w:tcW w:type="dxa" w:w="2401"/>
          </w:tcPr>
          <w:p>
            <w:r>
              <w:rPr>
                <w:sz w:val="17"/>
              </w:rPr>
              <w:t>Supply-chain or battery cost shocks</w:t>
            </w:r>
          </w:p>
        </w:tc>
        <w:tc>
          <w:tcPr>
            <w:tcW w:type="dxa" w:w="2401"/>
          </w:tcPr>
          <w:p>
            <w:r>
              <w:rPr>
                <w:sz w:val="17"/>
              </w:rPr>
              <w:t>Medium</w:t>
            </w:r>
          </w:p>
        </w:tc>
        <w:tc>
          <w:tcPr>
            <w:tcW w:type="dxa" w:w="2401"/>
          </w:tcPr>
          <w:p>
            <w:r>
              <w:rPr>
                <w:sz w:val="17"/>
              </w:rPr>
              <w:t>Medium</w:t>
            </w:r>
          </w:p>
        </w:tc>
        <w:tc>
          <w:tcPr>
            <w:tcW w:type="dxa" w:w="2401"/>
          </w:tcPr>
          <w:p>
            <w:r>
              <w:rPr>
                <w:sz w:val="17"/>
              </w:rPr>
              <w:t>Dual hardware sourcing; battery-leasing or swappable-battery partnerships; long design-life vehicles</w:t>
            </w:r>
          </w:p>
        </w:tc>
      </w:tr>
      <w:tr>
        <w:tc>
          <w:tcPr>
            <w:tcW w:type="dxa" w:w="2401"/>
          </w:tcPr>
          <w:p>
            <w:r>
              <w:rPr>
                <w:sz w:val="17"/>
              </w:rPr>
              <w:t>UK regulatory change rendering a committed model illegal</w:t>
            </w:r>
          </w:p>
        </w:tc>
        <w:tc>
          <w:tcPr>
            <w:tcW w:type="dxa" w:w="2401"/>
          </w:tcPr>
          <w:p>
            <w:r>
              <w:rPr>
                <w:sz w:val="17"/>
              </w:rPr>
              <w:t>Low (no entry committed)</w:t>
            </w:r>
          </w:p>
        </w:tc>
        <w:tc>
          <w:tcPr>
            <w:tcW w:type="dxa" w:w="2401"/>
          </w:tcPr>
          <w:p>
            <w:r>
              <w:rPr>
                <w:sz w:val="17"/>
              </w:rPr>
              <w:t>Low</w:t>
            </w:r>
          </w:p>
        </w:tc>
        <w:tc>
          <w:tcPr>
            <w:tcW w:type="dxa" w:w="2401"/>
          </w:tcPr>
          <w:p>
            <w:r>
              <w:rPr>
                <w:sz w:val="17"/>
              </w:rPr>
              <w:t>No UK capital; trial monitoring only</w:t>
            </w:r>
          </w:p>
        </w:tc>
      </w:tr>
    </w:tbl>
    <w:p/>
    <w:p>
      <w:r>
        <w:rPr>
          <w:sz w:val="21"/>
        </w:rPr>
        <w:t>The two risks that cannot be fully mitigated are municipal operating-right withdrawal and regulatory fragmentation. Both are managed through the same mechanism: a compliance-native, city-partnered operating model that makes the client the operator a municipality would prefer to retain, plus geographic diversification so that no single municipal decision is existential.</w:t>
      </w:r>
    </w:p>
    <w:p>
      <w:pPr>
        <w:pStyle w:val="Heading2"/>
      </w:pPr>
      <w:r>
        <w:rPr>
          <w:color w:val="0B3D61"/>
        </w:rPr>
        <w:t>13. Data Appendix: Cited Sources &amp; Tables</w:t>
      </w:r>
    </w:p>
    <w:p>
      <w:r>
        <w:rPr>
          <w:sz w:val="21"/>
        </w:rPr>
        <w:t>All sources listed below were verified as accessible at the time of compilation. Where analyst scopes differ, the figure is stated with its scope so estimates reconcile rather than conflate.</w:t>
      </w:r>
    </w:p>
    <w:p>
      <w:pPr>
        <w:pStyle w:val="Heading3"/>
      </w:pPr>
      <w:r>
        <w:rPr>
          <w:color w:val="145A8C"/>
        </w:rPr>
        <w:t>13.1 Sources</w:t>
      </w:r>
    </w:p>
    <w:p>
      <w:pPr>
        <w:pStyle w:val="ListNumber"/>
      </w:pPr>
      <w:r>
        <w:rPr>
          <w:sz w:val="21"/>
        </w:rPr>
        <w:t>EU Urban Mobility Observatory — Overview of policy relating to e-scooters in European countries. https://urban-mobility-observatory.transport.ec.europa.eu/resources/case-studies/overview-policy-relating-e-scooters-european-countries_en</w:t>
      </w:r>
    </w:p>
    <w:p>
      <w:pPr>
        <w:pStyle w:val="ListNumber"/>
      </w:pPr>
      <w:r>
        <w:rPr>
          <w:sz w:val="21"/>
        </w:rPr>
        <w:t>Technavio via Cision PR Newswire — Micromobility Market size is set to grow by USD 130.47 billion from 2024-2028. https://aijourn.com/micromobility-market-size-is-set-to-grow-by-usd-130-47-billion-from-2024-2028-increasing-traffic-congestion-boost-the-market-technavio/</w:t>
      </w:r>
    </w:p>
    <w:p>
      <w:pPr>
        <w:pStyle w:val="ListNumber"/>
      </w:pPr>
      <w:r>
        <w:rPr>
          <w:sz w:val="21"/>
        </w:rPr>
        <w:t>Nova One Advisor — E-Scooter Sharing Market Share Analysis Report, 2024-2033. https://www.novaoneadvisor.com/report/e-scooter-sharing-market</w:t>
      </w:r>
    </w:p>
    <w:p>
      <w:pPr>
        <w:pStyle w:val="ListNumber"/>
      </w:pPr>
      <w:r>
        <w:rPr>
          <w:sz w:val="21"/>
        </w:rPr>
        <w:t>Market.us — Micro-Mobility Market Size, Share | CAGR of 12.7%. https://market.us/report/micro-mobility-market/</w:t>
      </w:r>
    </w:p>
    <w:p>
      <w:pPr>
        <w:pStyle w:val="ListNumber"/>
      </w:pPr>
      <w:r>
        <w:rPr>
          <w:sz w:val="21"/>
        </w:rPr>
        <w:t>Grand View Research — Latin America Micro-Mobility Market Size &amp; Outlook. https://www.grandviewresearch.com/horizon/outlook/micro-mobility-market/latin-america</w:t>
      </w:r>
    </w:p>
    <w:p>
      <w:pPr>
        <w:pStyle w:val="ListNumber"/>
      </w:pPr>
      <w:r>
        <w:rPr>
          <w:sz w:val="21"/>
        </w:rPr>
        <w:t>Recording Law — France E-Scooter Laws: EDPM Rules, Age Limits, and Fines (2026). https://www.recordinglaw.com/france/driving-laws/e-scooter-laws/</w:t>
      </w:r>
    </w:p>
    <w:p>
      <w:pPr>
        <w:pStyle w:val="ListNumber"/>
      </w:pPr>
      <w:r>
        <w:rPr>
          <w:sz w:val="21"/>
        </w:rPr>
        <w:t>IMARC Group via Industry Today — Latin America Electric Scooter Market to Soar to USD 5.59 Billion by 2033. https://industrytoday.co.uk/automotive/latin-america-electric-scooter-market-to-soar-to-usd-559-billion-by-2033</w:t>
      </w:r>
    </w:p>
    <w:p>
      <w:pPr>
        <w:pStyle w:val="ListNumber"/>
      </w:pPr>
      <w:r>
        <w:rPr>
          <w:sz w:val="21"/>
        </w:rPr>
        <w:t>6Wresearch — Latin America Electric Scooters Market. https://www.6wresearch.com/industry-report/latin-america-electric-scooters-market-2021-2027</w:t>
      </w:r>
    </w:p>
    <w:p>
      <w:pPr>
        <w:pStyle w:val="ListNumber"/>
      </w:pPr>
      <w:r>
        <w:rPr>
          <w:sz w:val="21"/>
        </w:rPr>
        <w:t>Stratistics MRC — Peer-to-Peer E-Scooter Market. https://www.strategymrc.com/report/peer-to-peer-e-scooter-market</w:t>
      </w:r>
    </w:p>
    <w:p>
      <w:pPr>
        <w:pStyle w:val="ListNumber"/>
      </w:pPr>
      <w:r>
        <w:rPr>
          <w:sz w:val="21"/>
        </w:rPr>
        <w:t>Stratistics MRC — E-Scooter Sharing Market. https://www.strategymrc.com/report/e-scooter-sharing-market</w:t>
      </w:r>
    </w:p>
    <w:p>
      <w:pPr>
        <w:pStyle w:val="ListNumber"/>
      </w:pPr>
      <w:r>
        <w:rPr>
          <w:sz w:val="21"/>
        </w:rPr>
        <w:t>EVZ (European Consumer Centre) — E-scooter rules in Europe: What is allowed and what is not? https://www.evz.de/en/topics/transport/e-mobility/two-wheelers/e-scooter-rules/</w:t>
      </w:r>
    </w:p>
    <w:p>
      <w:pPr>
        <w:pStyle w:val="ListNumber"/>
      </w:pPr>
      <w:r>
        <w:rPr>
          <w:sz w:val="21"/>
        </w:rPr>
        <w:t>European Road Safety Charter — Stricter rules, safer streets? Europe’s latest e-scooter reforms. https://road-safety-charter.ec.europa.eu/content/stricter-rules-safer-streets-europes-latest-e-scooter-reforms</w:t>
      </w:r>
    </w:p>
    <w:p>
      <w:pPr>
        <w:pStyle w:val="Heading3"/>
      </w:pPr>
      <w:r>
        <w:rPr>
          <w:color w:val="145A8C"/>
        </w:rPr>
        <w:t>13.2 Source coverage map</w:t>
      </w:r>
    </w:p>
    <w:p>
      <w:pPr>
        <w:pStyle w:val="Heading3"/>
      </w:pPr>
      <w:r>
        <w:rPr>
          <w:color w:val="145A8C"/>
        </w:rPr>
        <w:t>13.3 Key figures quick-reference</w:t>
      </w:r>
    </w:p>
    <w:p>
      <w:r>
        <w:rPr>
          <w:sz w:val="16"/>
        </w:rPr>
        <w:t>Prepared to inform market-entry strategy. Third-party figures reflect each firm's stated scope; scopes are reconciled in Section 3.2. Forecasts are the author's synthesis of cited sources, per Section 10.</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