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hdphoto1.wdp" ContentType="image/vnd.ms-photo"/>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120"/>
        <w:rPr>
          <w:rFonts w:cs="Calibri Light" w:cstheme="majorHAnsi"/>
          <w:color w:val="394C75"/>
          <w:sz w:val="28"/>
          <w:szCs w:val="28"/>
        </w:rPr>
      </w:pPr>
      <w:r>
        <w:rPr>
          <w:rFonts w:cs="Calibri Light" w:cstheme="majorHAnsi"/>
          <w:color w:val="44546A" w:themeColor="text2"/>
          <w:sz w:val="28"/>
          <w:szCs w:val="28"/>
        </w:rPr>
        <w:t xml:space="preserve">Strategic Science Investment </w:t>
      </w:r>
      <w:r>
        <w:rPr>
          <w:rFonts w:cs="Calibri Light" w:cstheme="majorHAnsi"/>
          <w:color w:val="394C75"/>
          <w:sz w:val="28"/>
          <w:szCs w:val="28"/>
        </w:rPr>
        <w:t>Fund Application Form</w:t>
      </w:r>
    </w:p>
    <w:p>
      <w:pPr>
        <w:pStyle w:val="Heading1"/>
        <w:spacing w:before="0" w:after="0"/>
        <w:rPr>
          <w:rFonts w:cs="Calibri Light" w:cstheme="majorHAnsi"/>
          <w:color w:val="394C75"/>
          <w:sz w:val="22"/>
          <w:szCs w:val="22"/>
        </w:rPr>
      </w:pPr>
      <w:r>
        <w:rPr>
          <w:rFonts w:cs="Calibri Light" w:cstheme="majorHAnsi"/>
          <w:color w:val="394C75"/>
          <w:sz w:val="22"/>
          <w:szCs w:val="22"/>
        </w:rPr>
        <w:t>2022/23 Financial Year</w:t>
      </w:r>
    </w:p>
    <w:p>
      <w:pPr>
        <w:pStyle w:val="Normal"/>
        <w:rPr/>
      </w:pPr>
      <w:r>
        <w:rPr/>
      </w:r>
    </w:p>
    <w:tbl>
      <w:tblPr>
        <w:tblW w:w="5000" w:type="pct"/>
        <w:jc w:val="left"/>
        <w:tblInd w:w="0" w:type="dxa"/>
        <w:tblCellMar>
          <w:top w:w="30" w:type="dxa"/>
          <w:left w:w="30" w:type="dxa"/>
          <w:bottom w:w="30" w:type="dxa"/>
          <w:right w:w="30" w:type="dxa"/>
        </w:tblCellMar>
        <w:tblLook w:val="04a0" w:noHBand="0" w:noVBand="1" w:firstColumn="1" w:lastRow="0" w:lastColumn="0" w:firstRow="1"/>
      </w:tblPr>
      <w:tblGrid>
        <w:gridCol w:w="2697"/>
        <w:gridCol w:w="7768"/>
      </w:tblGrid>
      <w:tr>
        <w:trPr/>
        <w:tc>
          <w:tcPr>
            <w:tcW w:w="2697" w:type="dxa"/>
            <w:tcBorders>
              <w:top w:val="single" w:sz="24" w:space="0" w:color="1F4E79"/>
              <w:left w:val="single" w:sz="6" w:space="0" w:color="CCCCCC"/>
              <w:bottom w:val="single" w:sz="6" w:space="0" w:color="CCCCCC"/>
              <w:right w:val="single" w:sz="6" w:space="0" w:color="CCCCCC"/>
            </w:tcBorders>
            <w:shd w:color="auto" w:fill="FFFFFF" w:themeFill="background1" w:val="clear"/>
          </w:tcPr>
          <w:p>
            <w:pPr>
              <w:pStyle w:val="Normal"/>
              <w:rPr>
                <w:rFonts w:ascii="Calibri Light" w:hAnsi="Calibri Light" w:eastAsia="Times New Roman" w:cs="Calibri Light" w:asciiTheme="majorHAnsi" w:cstheme="majorHAnsi" w:hAnsiTheme="majorHAnsi"/>
                <w:color w:val="002060"/>
                <w:sz w:val="22"/>
                <w:szCs w:val="22"/>
              </w:rPr>
            </w:pPr>
            <w:r>
              <w:rPr>
                <w:rFonts w:eastAsia="Times New Roman" w:cs="Calibri Light" w:cstheme="majorHAnsi"/>
                <w:bCs/>
                <w:color w:val="002060"/>
                <w:sz w:val="22"/>
                <w:szCs w:val="22"/>
              </w:rPr>
              <w:t>Project Name</w:t>
            </w:r>
          </w:p>
        </w:tc>
        <w:tc>
          <w:tcPr>
            <w:tcW w:w="7768" w:type="dxa"/>
            <w:tcBorders>
              <w:top w:val="single" w:sz="24" w:space="0" w:color="1F4E79"/>
              <w:left w:val="single" w:sz="6" w:space="0" w:color="CCCCCC"/>
              <w:bottom w:val="single" w:sz="6" w:space="0" w:color="CCCCCC"/>
              <w:right w:val="single" w:sz="6" w:space="0" w:color="CCCCCC"/>
            </w:tcBorders>
            <w:shd w:color="auto" w:fill="FFFFFF" w:val="clear"/>
          </w:tcPr>
          <w:p>
            <w:pPr>
              <w:pStyle w:val="Normal"/>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Pacific Rim Centre: Advice and Support</w:t>
            </w:r>
          </w:p>
        </w:tc>
      </w:tr>
      <w:tr>
        <w:trPr/>
        <w:tc>
          <w:tcPr>
            <w:tcW w:w="2697" w:type="dxa"/>
            <w:tcBorders>
              <w:top w:val="single" w:sz="6" w:space="0" w:color="CCCCCC"/>
              <w:left w:val="single" w:sz="6" w:space="0" w:color="CCCCCC"/>
              <w:bottom w:val="single" w:sz="6" w:space="0" w:color="CCCCCC"/>
              <w:right w:val="single" w:sz="6" w:space="0" w:color="CCCCCC"/>
            </w:tcBorders>
            <w:shd w:color="auto" w:fill="FFFFFF" w:themeFill="background1" w:val="clear"/>
          </w:tcPr>
          <w:p>
            <w:pPr>
              <w:pStyle w:val="Normal"/>
              <w:rPr>
                <w:rFonts w:ascii="Calibri Light" w:hAnsi="Calibri Light" w:eastAsia="Times New Roman" w:cs="Calibri Light" w:asciiTheme="majorHAnsi" w:cstheme="majorHAnsi" w:hAnsiTheme="majorHAnsi"/>
                <w:bCs/>
                <w:color w:val="002060"/>
                <w:sz w:val="22"/>
                <w:szCs w:val="22"/>
              </w:rPr>
            </w:pPr>
            <w:r>
              <w:rPr>
                <w:rFonts w:eastAsia="Times New Roman" w:cs="Calibri Light" w:cstheme="majorHAnsi"/>
                <w:bCs/>
                <w:color w:val="002060"/>
                <w:sz w:val="22"/>
                <w:szCs w:val="22"/>
              </w:rPr>
              <w:t>Project Manager</w:t>
            </w:r>
          </w:p>
        </w:tc>
        <w:tc>
          <w:tcPr>
            <w:tcW w:w="7768" w:type="dxa"/>
            <w:tcBorders>
              <w:top w:val="single" w:sz="6" w:space="0" w:color="CCCCCC"/>
              <w:left w:val="single" w:sz="6" w:space="0" w:color="CCCCCC"/>
              <w:bottom w:val="single" w:sz="6" w:space="0" w:color="CCCCCC"/>
              <w:right w:val="single" w:sz="6" w:space="0" w:color="CCCCCC"/>
            </w:tcBorders>
            <w:shd w:color="auto" w:fill="FFFFFF" w:val="clear"/>
          </w:tcPr>
          <w:p>
            <w:pPr>
              <w:pStyle w:val="Normal"/>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Doug Ramsay</w:t>
            </w:r>
          </w:p>
        </w:tc>
      </w:tr>
      <w:tr>
        <w:trPr/>
        <w:tc>
          <w:tcPr>
            <w:tcW w:w="2697" w:type="dxa"/>
            <w:tcBorders>
              <w:top w:val="single" w:sz="6" w:space="0" w:color="CCCCCC"/>
              <w:left w:val="single" w:sz="6" w:space="0" w:color="CCCCCC"/>
              <w:bottom w:val="single" w:sz="6" w:space="0" w:color="CCCCCC"/>
              <w:right w:val="single" w:sz="6" w:space="0" w:color="CCCCCC"/>
            </w:tcBorders>
            <w:shd w:color="auto" w:fill="FFFFFF" w:themeFill="background1" w:val="clear"/>
          </w:tcPr>
          <w:p>
            <w:pPr>
              <w:pStyle w:val="Normal"/>
              <w:rPr>
                <w:rFonts w:ascii="Calibri Light" w:hAnsi="Calibri Light" w:eastAsia="Times New Roman" w:cs="Calibri Light" w:asciiTheme="majorHAnsi" w:cstheme="majorHAnsi" w:hAnsiTheme="majorHAnsi"/>
                <w:bCs/>
                <w:color w:val="002060"/>
                <w:sz w:val="22"/>
                <w:szCs w:val="22"/>
              </w:rPr>
            </w:pPr>
            <w:r>
              <w:rPr>
                <w:rFonts w:eastAsia="Times New Roman" w:cs="Calibri Light" w:cstheme="majorHAnsi"/>
                <w:bCs/>
                <w:color w:val="002060"/>
                <w:sz w:val="22"/>
                <w:szCs w:val="22"/>
              </w:rPr>
              <w:t>Programme</w:t>
            </w:r>
          </w:p>
        </w:tc>
        <w:tc>
          <w:tcPr>
            <w:tcW w:w="7768" w:type="dxa"/>
            <w:tcBorders>
              <w:top w:val="single" w:sz="6" w:space="0" w:color="CCCCCC"/>
              <w:left w:val="single" w:sz="6" w:space="0" w:color="CCCCCC"/>
              <w:bottom w:val="single" w:sz="6" w:space="0" w:color="CCCCCC"/>
              <w:right w:val="single" w:sz="6" w:space="0" w:color="CCCCCC"/>
            </w:tcBorders>
            <w:shd w:color="auto" w:fill="FFFFFF" w:val="clear"/>
          </w:tcPr>
          <w:p>
            <w:pPr>
              <w:pStyle w:val="Normal"/>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r>
          </w:p>
        </w:tc>
      </w:tr>
      <w:tr>
        <w:trPr/>
        <w:tc>
          <w:tcPr>
            <w:tcW w:w="2697" w:type="dxa"/>
            <w:tcBorders>
              <w:top w:val="single" w:sz="6" w:space="0" w:color="CCCCCC"/>
              <w:left w:val="single" w:sz="6" w:space="0" w:color="CCCCCC"/>
              <w:bottom w:val="single" w:sz="6" w:space="0" w:color="CCCCCC"/>
              <w:right w:val="single" w:sz="6" w:space="0" w:color="CCCCCC"/>
            </w:tcBorders>
            <w:shd w:color="auto" w:fill="FFFFFF" w:themeFill="background1" w:val="clear"/>
          </w:tcPr>
          <w:p>
            <w:pPr>
              <w:pStyle w:val="Normal"/>
              <w:rPr>
                <w:rFonts w:ascii="Calibri Light" w:hAnsi="Calibri Light" w:eastAsia="Times New Roman" w:cs="Calibri Light" w:asciiTheme="majorHAnsi" w:cstheme="majorHAnsi" w:hAnsiTheme="majorHAnsi"/>
                <w:color w:val="002060"/>
                <w:sz w:val="22"/>
                <w:szCs w:val="22"/>
              </w:rPr>
            </w:pPr>
            <w:r>
              <w:rPr>
                <w:rFonts w:eastAsia="Times New Roman" w:cs="Calibri Light" w:cstheme="majorHAnsi"/>
                <w:color w:val="002060"/>
                <w:sz w:val="22"/>
                <w:szCs w:val="22"/>
              </w:rPr>
              <w:t>Centre</w:t>
            </w:r>
          </w:p>
        </w:tc>
        <w:tc>
          <w:tcPr>
            <w:tcW w:w="7768" w:type="dxa"/>
            <w:tcBorders>
              <w:top w:val="single" w:sz="6" w:space="0" w:color="CCCCCC"/>
              <w:left w:val="single" w:sz="6" w:space="0" w:color="CCCCCC"/>
              <w:bottom w:val="single" w:sz="6" w:space="0" w:color="CCCCCC"/>
              <w:right w:val="single" w:sz="6" w:space="0" w:color="CCCCCC"/>
            </w:tcBorders>
            <w:shd w:color="auto" w:fill="FFFFFF" w:val="clear"/>
          </w:tcPr>
          <w:p>
            <w:pPr>
              <w:pStyle w:val="Normal"/>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Pacific Rim Centre</w:t>
            </w:r>
          </w:p>
        </w:tc>
      </w:tr>
      <w:tr>
        <w:trPr/>
        <w:tc>
          <w:tcPr>
            <w:tcW w:w="2697" w:type="dxa"/>
            <w:tcBorders>
              <w:top w:val="single" w:sz="6" w:space="0" w:color="CCCCCC"/>
              <w:left w:val="single" w:sz="6" w:space="0" w:color="CCCCCC"/>
              <w:bottom w:val="single" w:sz="6" w:space="0" w:color="CCCCCC"/>
              <w:right w:val="single" w:sz="6" w:space="0" w:color="CCCCCC"/>
            </w:tcBorders>
            <w:shd w:color="auto" w:fill="FFFFFF" w:themeFill="background1" w:val="clear"/>
          </w:tcPr>
          <w:p>
            <w:pPr>
              <w:pStyle w:val="Normal"/>
              <w:rPr>
                <w:rFonts w:ascii="Calibri Light" w:hAnsi="Calibri Light" w:eastAsia="Times New Roman" w:cs="Calibri Light" w:asciiTheme="majorHAnsi" w:cstheme="majorHAnsi" w:hAnsiTheme="majorHAnsi"/>
                <w:color w:val="002060"/>
                <w:sz w:val="22"/>
                <w:szCs w:val="22"/>
              </w:rPr>
            </w:pPr>
            <w:r>
              <w:rPr>
                <w:rFonts w:eastAsia="Times New Roman" w:cs="Calibri Light" w:cstheme="majorHAnsi"/>
                <w:bCs/>
                <w:color w:val="002060"/>
                <w:sz w:val="22"/>
                <w:szCs w:val="22"/>
              </w:rPr>
              <w:t>Budget</w:t>
            </w:r>
          </w:p>
        </w:tc>
        <w:tc>
          <w:tcPr>
            <w:tcW w:w="7768" w:type="dxa"/>
            <w:tcBorders>
              <w:top w:val="single" w:sz="6" w:space="0" w:color="CCCCCC"/>
              <w:left w:val="single" w:sz="6" w:space="0" w:color="CCCCCC"/>
              <w:bottom w:val="single" w:sz="6" w:space="0" w:color="CCCCCC"/>
              <w:right w:val="single" w:sz="6" w:space="0" w:color="CCCCCC"/>
            </w:tcBorders>
            <w:shd w:color="auto" w:fill="FFFFFF" w:val="clear"/>
          </w:tcPr>
          <w:p>
            <w:pPr>
              <w:pStyle w:val="Normal"/>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$250,000</w:t>
            </w:r>
          </w:p>
        </w:tc>
      </w:tr>
      <w:tr>
        <w:trPr/>
        <w:tc>
          <w:tcPr>
            <w:tcW w:w="2697" w:type="dxa"/>
            <w:tcBorders>
              <w:top w:val="single" w:sz="6" w:space="0" w:color="CCCCCC"/>
              <w:left w:val="single" w:sz="6" w:space="0" w:color="CCCCCC"/>
              <w:bottom w:val="single" w:sz="6" w:space="0" w:color="CCCCCC"/>
              <w:right w:val="single" w:sz="6" w:space="0" w:color="CCCCCC"/>
            </w:tcBorders>
            <w:shd w:color="auto" w:fill="FFFFFF" w:themeFill="background1" w:val="clear"/>
          </w:tcPr>
          <w:p>
            <w:pPr>
              <w:pStyle w:val="Normal"/>
              <w:rPr>
                <w:rFonts w:ascii="Calibri Light" w:hAnsi="Calibri Light" w:eastAsia="Times New Roman" w:cs="Calibri Light" w:asciiTheme="majorHAnsi" w:cstheme="majorHAnsi" w:hAnsiTheme="majorHAnsi"/>
                <w:bCs/>
                <w:color w:val="002060"/>
                <w:sz w:val="22"/>
                <w:szCs w:val="22"/>
              </w:rPr>
            </w:pPr>
            <w:r>
              <w:rPr>
                <w:rFonts w:eastAsia="Times New Roman" w:cs="Calibri Light" w:cstheme="majorHAnsi"/>
                <w:bCs/>
                <w:color w:val="002060"/>
                <w:sz w:val="22"/>
                <w:szCs w:val="22"/>
              </w:rPr>
              <w:t>Expected co-funding</w:t>
            </w:r>
          </w:p>
        </w:tc>
        <w:tc>
          <w:tcPr>
            <w:tcW w:w="7768" w:type="dxa"/>
            <w:tcBorders>
              <w:top w:val="single" w:sz="6" w:space="0" w:color="CCCCCC"/>
              <w:left w:val="single" w:sz="6" w:space="0" w:color="CCCCCC"/>
              <w:bottom w:val="single" w:sz="6" w:space="0" w:color="CCCCCC"/>
              <w:right w:val="single" w:sz="6" w:space="0" w:color="CCCCCC"/>
            </w:tcBorders>
            <w:shd w:color="auto" w:fill="FFFFFF" w:val="clear"/>
          </w:tcPr>
          <w:p>
            <w:pPr>
              <w:pStyle w:val="Normal"/>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Over the last 10 years co-funding on average of $18 from external sources for every $1 of SSIF invested has been achieved. Similar co-funding is anticipated for this next FY.</w:t>
            </w:r>
          </w:p>
        </w:tc>
      </w:tr>
      <w:tr>
        <w:trPr/>
        <w:tc>
          <w:tcPr>
            <w:tcW w:w="2697" w:type="dxa"/>
            <w:tcBorders>
              <w:top w:val="single" w:sz="6" w:space="0" w:color="CCCCCC"/>
              <w:left w:val="single" w:sz="6" w:space="0" w:color="CCCCCC"/>
              <w:bottom w:val="single" w:sz="6" w:space="0" w:color="CCCCCC"/>
              <w:right w:val="single" w:sz="6" w:space="0" w:color="CCCCCC"/>
            </w:tcBorders>
            <w:shd w:color="auto" w:fill="FFFFFF" w:themeFill="background1" w:val="clear"/>
          </w:tcPr>
          <w:p>
            <w:pPr>
              <w:pStyle w:val="Normal"/>
              <w:rPr>
                <w:rFonts w:ascii="Calibri Light" w:hAnsi="Calibri Light" w:eastAsia="Times New Roman" w:cs="Calibri Light" w:asciiTheme="majorHAnsi" w:cstheme="majorHAnsi" w:hAnsiTheme="majorHAnsi"/>
                <w:bCs/>
                <w:color w:val="002060"/>
                <w:sz w:val="22"/>
                <w:szCs w:val="22"/>
              </w:rPr>
            </w:pPr>
            <w:r>
              <w:rPr>
                <w:rFonts w:eastAsia="Times New Roman" w:cs="Calibri Light" w:cstheme="majorHAnsi"/>
                <w:bCs/>
                <w:color w:val="002060"/>
                <w:sz w:val="22"/>
                <w:szCs w:val="22"/>
              </w:rPr>
              <w:t>External collaborators</w:t>
            </w:r>
          </w:p>
        </w:tc>
        <w:tc>
          <w:tcPr>
            <w:tcW w:w="7768" w:type="dxa"/>
            <w:tcBorders>
              <w:top w:val="single" w:sz="6" w:space="0" w:color="CCCCCC"/>
              <w:left w:val="single" w:sz="6" w:space="0" w:color="CCCCCC"/>
              <w:bottom w:val="single" w:sz="6" w:space="0" w:color="CCCCCC"/>
              <w:right w:val="single" w:sz="6" w:space="0" w:color="CCCCCC"/>
            </w:tcBorders>
            <w:shd w:color="auto" w:fill="FFFFFF" w:val="clear"/>
          </w:tcPr>
          <w:p>
            <w:pPr>
              <w:pStyle w:val="Normal"/>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 xml:space="preserve">Pacific Government Ministries, Departments and agencies, Pacific Community (SPC), Pacific Regional Environment Programme (SPREP), NOAA, University of Hawaii, Bureau of Meteorology, CSIRO, APEC Climate Center, GNS. </w:t>
            </w:r>
          </w:p>
        </w:tc>
      </w:tr>
      <w:tr>
        <w:trPr/>
        <w:tc>
          <w:tcPr>
            <w:tcW w:w="2697" w:type="dxa"/>
            <w:tcBorders>
              <w:top w:val="single" w:sz="6" w:space="0" w:color="CCCCCC"/>
              <w:left w:val="single" w:sz="6" w:space="0" w:color="CCCCCC"/>
              <w:bottom w:val="single" w:sz="6" w:space="0" w:color="CCCCCC"/>
              <w:right w:val="single" w:sz="6" w:space="0" w:color="CCCCCC"/>
            </w:tcBorders>
            <w:shd w:color="auto" w:fill="FFFFFF" w:themeFill="background1" w:val="clear"/>
          </w:tcPr>
          <w:p>
            <w:pPr>
              <w:pStyle w:val="Normal"/>
              <w:rPr>
                <w:rFonts w:ascii="Calibri Light" w:hAnsi="Calibri Light" w:eastAsia="Times New Roman" w:cs="Calibri Light" w:asciiTheme="majorHAnsi" w:cstheme="majorHAnsi" w:hAnsiTheme="majorHAnsi"/>
                <w:bCs/>
                <w:color w:val="002060"/>
                <w:sz w:val="22"/>
                <w:szCs w:val="22"/>
              </w:rPr>
            </w:pPr>
            <w:r>
              <w:rPr>
                <w:rFonts w:eastAsia="Times New Roman" w:cs="Calibri Light" w:cstheme="majorHAnsi"/>
                <w:bCs/>
                <w:color w:val="002060"/>
                <w:sz w:val="22"/>
                <w:szCs w:val="22"/>
              </w:rPr>
              <w:t>Critical kit/infrastructure</w:t>
            </w:r>
          </w:p>
        </w:tc>
        <w:tc>
          <w:tcPr>
            <w:tcW w:w="7768" w:type="dxa"/>
            <w:tcBorders>
              <w:top w:val="single" w:sz="6" w:space="0" w:color="CCCCCC"/>
              <w:left w:val="single" w:sz="6" w:space="0" w:color="CCCCCC"/>
              <w:bottom w:val="single" w:sz="6" w:space="0" w:color="CCCCCC"/>
              <w:right w:val="single" w:sz="6" w:space="0" w:color="CCCCCC"/>
            </w:tcBorders>
            <w:shd w:color="auto" w:fill="FFFFFF" w:val="clear"/>
          </w:tcPr>
          <w:p>
            <w:pPr>
              <w:pStyle w:val="Normal"/>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 xml:space="preserve">Ongoing support to, and development of, CliDEsc and CliDEsc Portal product generation and delivery systems including THREDD server. </w:t>
            </w:r>
          </w:p>
          <w:p>
            <w:pPr>
              <w:pStyle w:val="Normal"/>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 xml:space="preserve">HPC for automation of Island Climate Update products, Forecast Studio for delivery of Island Climate Update videos. Instrumentation Systems. </w:t>
            </w:r>
          </w:p>
        </w:tc>
      </w:tr>
    </w:tbl>
    <w:p>
      <w:pPr>
        <w:pStyle w:val="PlainText"/>
        <w:spacing w:before="0" w:after="120"/>
        <w:jc w:val="both"/>
        <w:rPr>
          <w:rFonts w:ascii="Calibri Light" w:hAnsi="Calibri Light" w:cs="Calibri Light" w:asciiTheme="majorHAnsi" w:cstheme="majorHAnsi" w:hAnsiTheme="majorHAnsi"/>
          <w:i/>
          <w:i/>
          <w:sz w:val="20"/>
          <w:szCs w:val="20"/>
          <w:lang w:eastAsia="en-NZ"/>
        </w:rPr>
      </w:pPr>
      <w:r>
        <w:rPr>
          <w:rFonts w:cs="Calibri Light" w:cstheme="majorHAnsi" w:ascii="Calibri Light" w:hAnsi="Calibri Light"/>
          <w:i/>
          <w:sz w:val="20"/>
          <w:szCs w:val="20"/>
          <w:lang w:eastAsia="en-NZ"/>
        </w:rPr>
      </w:r>
    </w:p>
    <w:tbl>
      <w:tblPr>
        <w:tblW w:w="5000" w:type="pct"/>
        <w:jc w:val="left"/>
        <w:tblInd w:w="0" w:type="dxa"/>
        <w:tblCellMar>
          <w:top w:w="30" w:type="dxa"/>
          <w:left w:w="30" w:type="dxa"/>
          <w:bottom w:w="30" w:type="dxa"/>
          <w:right w:w="30" w:type="dxa"/>
        </w:tblCellMar>
        <w:tblLook w:val="04a0" w:noHBand="0" w:noVBand="1" w:firstColumn="1" w:lastRow="0" w:lastColumn="0" w:firstRow="1"/>
      </w:tblPr>
      <w:tblGrid>
        <w:gridCol w:w="2689"/>
        <w:gridCol w:w="7776"/>
      </w:tblGrid>
      <w:tr>
        <w:trPr/>
        <w:tc>
          <w:tcPr>
            <w:tcW w:w="10465" w:type="dxa"/>
            <w:gridSpan w:val="2"/>
            <w:tcBorders>
              <w:top w:val="single" w:sz="24" w:space="0" w:color="1F4E79"/>
              <w:left w:val="single" w:sz="6" w:space="0" w:color="CCCCCC"/>
              <w:bottom w:val="single" w:sz="2" w:space="0" w:color="A6A6A6"/>
              <w:right w:val="single" w:sz="6" w:space="0" w:color="CCCCCC"/>
            </w:tcBorders>
            <w:shd w:color="auto" w:fill="auto" w:val="clear"/>
          </w:tcPr>
          <w:p>
            <w:pPr>
              <w:pStyle w:val="Normal"/>
              <w:ind w:left="31" w:hanging="0"/>
              <w:rPr>
                <w:rFonts w:ascii="Calibri Light" w:hAnsi="Calibri Light" w:eastAsia="Times New Roman" w:cs="Calibri Light" w:asciiTheme="majorHAnsi" w:cstheme="majorHAnsi" w:hAnsiTheme="majorHAnsi"/>
                <w:bCs/>
                <w:color w:val="002060"/>
                <w:szCs w:val="22"/>
              </w:rPr>
            </w:pPr>
            <w:r>
              <w:rPr>
                <w:rFonts w:eastAsia="Times New Roman" w:cs="Calibri Light" w:cstheme="majorHAnsi"/>
                <w:bCs/>
                <w:color w:val="002060"/>
                <w:szCs w:val="22"/>
              </w:rPr>
              <w:t>Delivery of NIWA Science Strategy</w:t>
            </w:r>
          </w:p>
        </w:tc>
      </w:tr>
      <w:tr>
        <w:trPr/>
        <w:tc>
          <w:tcPr>
            <w:tcW w:w="2689" w:type="dxa"/>
            <w:tcBorders>
              <w:top w:val="single" w:sz="2" w:space="0" w:color="A6A6A6"/>
              <w:left w:val="single" w:sz="6" w:space="0" w:color="CCCCCC"/>
              <w:bottom w:val="single" w:sz="2" w:space="0" w:color="A6A6A6"/>
              <w:right w:val="single" w:sz="6" w:space="0" w:color="CCCCCC"/>
            </w:tcBorders>
            <w:shd w:color="auto" w:fill="auto" w:val="clear"/>
          </w:tcPr>
          <w:p>
            <w:pPr>
              <w:pStyle w:val="Normal"/>
              <w:ind w:left="31" w:hanging="0"/>
              <w:rPr>
                <w:rFonts w:ascii="Calibri Light" w:hAnsi="Calibri Light" w:cs="Calibri Light" w:asciiTheme="majorHAnsi" w:cstheme="majorHAnsi" w:hAnsiTheme="majorHAnsi"/>
                <w:color w:val="808080" w:themeColor="background1" w:themeShade="80"/>
                <w:sz w:val="18"/>
                <w:szCs w:val="18"/>
              </w:rPr>
            </w:pPr>
            <w:r>
              <w:rPr>
                <w:rFonts w:eastAsia="Times New Roman" w:cs="Calibri Light" w:cstheme="majorHAnsi"/>
                <w:bCs/>
                <w:color w:val="002060"/>
                <w:sz w:val="18"/>
                <w:szCs w:val="16"/>
              </w:rPr>
              <w:t>National Outcome, Sub-outcome</w:t>
            </w:r>
            <w:r>
              <w:rPr>
                <w:rFonts w:cs="Calibri Light" w:cstheme="majorHAnsi"/>
                <w:color w:val="808080" w:themeColor="background1" w:themeShade="80"/>
                <w:sz w:val="18"/>
                <w:szCs w:val="18"/>
              </w:rPr>
              <w:t xml:space="preserve"> </w:t>
            </w:r>
          </w:p>
        </w:tc>
        <w:tc>
          <w:tcPr>
            <w:tcW w:w="7776" w:type="dxa"/>
            <w:tcBorders>
              <w:top w:val="single" w:sz="2" w:space="0" w:color="A6A6A6"/>
              <w:left w:val="single" w:sz="6" w:space="0" w:color="CCCCCC"/>
              <w:bottom w:val="single" w:sz="2" w:space="0" w:color="A6A6A6"/>
              <w:right w:val="single" w:sz="6" w:space="0" w:color="CCCCCC"/>
            </w:tcBorders>
            <w:shd w:color="auto" w:fill="auto" w:val="clear"/>
            <w:tcMar>
              <w:top w:w="0" w:type="dxa"/>
              <w:left w:w="7" w:type="dxa"/>
              <w:bottom w:w="0" w:type="dxa"/>
              <w:right w:w="7" w:type="dxa"/>
            </w:tcMar>
          </w:tcPr>
          <w:p>
            <w:pPr>
              <w:pStyle w:val="Normal"/>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 xml:space="preserve">NIWA’s Pacific activities primarily contribute to the following SCP outcome: </w:t>
            </w:r>
          </w:p>
          <w:p>
            <w:pPr>
              <w:pStyle w:val="ListParagraph"/>
              <w:numPr>
                <w:ilvl w:val="0"/>
                <w:numId w:val="6"/>
              </w:numPr>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Increase the resilience of New Zealand and South-West Pacific islands to tsunami and weather and climate hazards, including drought, floods and sea-level change.</w:t>
            </w:r>
          </w:p>
          <w:p>
            <w:pPr>
              <w:pStyle w:val="Normal"/>
              <w:ind w:left="31" w:hanging="0"/>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Our activities also contributes to four of the five National Science Outcomes (in a Pacific sense):</w:t>
            </w:r>
          </w:p>
          <w:p>
            <w:pPr>
              <w:pStyle w:val="ListParagraph"/>
              <w:numPr>
                <w:ilvl w:val="0"/>
                <w:numId w:val="6"/>
              </w:numPr>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Adapting to a changing climate (all 3 sub-outcomes)</w:t>
            </w:r>
          </w:p>
          <w:p>
            <w:pPr>
              <w:pStyle w:val="ListParagraph"/>
              <w:numPr>
                <w:ilvl w:val="0"/>
                <w:numId w:val="6"/>
              </w:numPr>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Biodiversity (primarily contributing invasive species)</w:t>
            </w:r>
          </w:p>
          <w:p>
            <w:pPr>
              <w:pStyle w:val="ListParagraph"/>
              <w:numPr>
                <w:ilvl w:val="0"/>
                <w:numId w:val="6"/>
              </w:numPr>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Sustainable economy (primarily advancing sustainability in fisheries)</w:t>
            </w:r>
          </w:p>
          <w:p>
            <w:pPr>
              <w:pStyle w:val="ListParagraph"/>
              <w:numPr>
                <w:ilvl w:val="0"/>
                <w:numId w:val="6"/>
              </w:numPr>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Aquatic health (all 3 sub outcomes).</w:t>
            </w:r>
          </w:p>
        </w:tc>
      </w:tr>
      <w:tr>
        <w:trPr/>
        <w:tc>
          <w:tcPr>
            <w:tcW w:w="2689" w:type="dxa"/>
            <w:tcBorders>
              <w:top w:val="single" w:sz="2" w:space="0" w:color="A6A6A6"/>
              <w:left w:val="single" w:sz="6" w:space="0" w:color="CCCCCC"/>
              <w:bottom w:val="single" w:sz="2" w:space="0" w:color="A6A6A6"/>
              <w:right w:val="single" w:sz="6" w:space="0" w:color="CCCCCC"/>
            </w:tcBorders>
            <w:shd w:color="auto" w:fill="auto" w:val="clear"/>
          </w:tcPr>
          <w:p>
            <w:pPr>
              <w:pStyle w:val="Normal"/>
              <w:ind w:left="31" w:hanging="0"/>
              <w:rPr>
                <w:rFonts w:ascii="Calibri Light" w:hAnsi="Calibri Light" w:eastAsia="Times New Roman" w:cs="Calibri Light" w:asciiTheme="majorHAnsi" w:cstheme="majorHAnsi" w:hAnsiTheme="majorHAnsi"/>
                <w:bCs/>
                <w:color w:val="002060"/>
                <w:sz w:val="18"/>
                <w:szCs w:val="16"/>
              </w:rPr>
            </w:pPr>
            <w:r>
              <w:rPr>
                <w:rFonts w:eastAsia="Times New Roman" w:cs="Calibri Light" w:cstheme="majorHAnsi"/>
                <w:bCs/>
                <w:color w:val="002060"/>
                <w:sz w:val="18"/>
                <w:szCs w:val="16"/>
              </w:rPr>
              <w:t>How Programme contributes to Outcome</w:t>
            </w:r>
          </w:p>
        </w:tc>
        <w:tc>
          <w:tcPr>
            <w:tcW w:w="7776" w:type="dxa"/>
            <w:tcBorders>
              <w:top w:val="single" w:sz="2" w:space="0" w:color="A6A6A6"/>
              <w:left w:val="single" w:sz="6" w:space="0" w:color="CCCCCC"/>
              <w:bottom w:val="single" w:sz="2" w:space="0" w:color="A6A6A6"/>
              <w:right w:val="single" w:sz="6" w:space="0" w:color="CCCCCC"/>
            </w:tcBorders>
            <w:shd w:color="auto" w:fill="auto" w:val="clear"/>
            <w:tcMar>
              <w:top w:w="0" w:type="dxa"/>
              <w:left w:w="7" w:type="dxa"/>
              <w:bottom w:w="0" w:type="dxa"/>
              <w:right w:w="7" w:type="dxa"/>
            </w:tcMar>
          </w:tcPr>
          <w:p>
            <w:pPr>
              <w:pStyle w:val="Normal"/>
              <w:ind w:left="31" w:hanging="0"/>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See below</w:t>
            </w:r>
          </w:p>
        </w:tc>
      </w:tr>
      <w:tr>
        <w:trPr/>
        <w:tc>
          <w:tcPr>
            <w:tcW w:w="2689" w:type="dxa"/>
            <w:tcBorders>
              <w:top w:val="single" w:sz="2" w:space="0" w:color="A6A6A6"/>
              <w:left w:val="single" w:sz="6" w:space="0" w:color="CCCCCC"/>
              <w:bottom w:val="single" w:sz="2" w:space="0" w:color="A6A6A6"/>
              <w:right w:val="single" w:sz="6" w:space="0" w:color="CCCCCC"/>
            </w:tcBorders>
            <w:shd w:color="auto" w:fill="auto" w:val="clear"/>
          </w:tcPr>
          <w:p>
            <w:pPr>
              <w:pStyle w:val="Normal"/>
              <w:ind w:left="31" w:hanging="0"/>
              <w:rPr>
                <w:rFonts w:ascii="Calibri Light" w:hAnsi="Calibri Light" w:eastAsia="Times New Roman" w:cs="Calibri Light" w:asciiTheme="majorHAnsi" w:cstheme="majorHAnsi" w:hAnsiTheme="majorHAnsi"/>
                <w:bCs/>
                <w:color w:val="002060"/>
                <w:sz w:val="18"/>
                <w:szCs w:val="16"/>
              </w:rPr>
            </w:pPr>
            <w:r>
              <w:rPr>
                <w:rFonts w:eastAsia="Times New Roman" w:cs="Calibri Light" w:cstheme="majorHAnsi"/>
                <w:bCs/>
                <w:color w:val="002060"/>
                <w:sz w:val="18"/>
                <w:szCs w:val="16"/>
              </w:rPr>
              <w:t>How Project contributes to Programme</w:t>
            </w:r>
          </w:p>
        </w:tc>
        <w:tc>
          <w:tcPr>
            <w:tcW w:w="7776" w:type="dxa"/>
            <w:tcBorders>
              <w:top w:val="single" w:sz="2" w:space="0" w:color="A6A6A6"/>
              <w:left w:val="single" w:sz="6" w:space="0" w:color="CCCCCC"/>
              <w:bottom w:val="single" w:sz="2" w:space="0" w:color="A6A6A6"/>
              <w:right w:val="single" w:sz="6" w:space="0" w:color="CCCCCC"/>
            </w:tcBorders>
            <w:shd w:color="auto" w:fill="auto" w:val="clear"/>
            <w:tcMar>
              <w:top w:w="0" w:type="dxa"/>
              <w:left w:w="7" w:type="dxa"/>
              <w:bottom w:w="0" w:type="dxa"/>
              <w:right w:w="7" w:type="dxa"/>
            </w:tcMar>
          </w:tcPr>
          <w:p>
            <w:pPr>
              <w:pStyle w:val="Normal"/>
              <w:shd w:val="clear" w:color="auto" w:fill="FFFFFF"/>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 xml:space="preserve">This Project provides the foundation activities to mee our aim in the SCI of </w:t>
            </w:r>
            <w:r>
              <w:rPr>
                <w:rFonts w:eastAsia="Times New Roman" w:cs="Calibri Light" w:cstheme="majorHAnsi"/>
                <w:i/>
                <w:iCs/>
                <w:sz w:val="20"/>
                <w:szCs w:val="20"/>
              </w:rPr>
              <w:t>“…..leverage its science to support a secure, resilient and prosperous Pacific by maintaining and developing enduring partnerships across Te Moana-Niu-a-Kiwa.”</w:t>
            </w:r>
          </w:p>
        </w:tc>
      </w:tr>
      <w:tr>
        <w:trPr/>
        <w:tc>
          <w:tcPr>
            <w:tcW w:w="2689" w:type="dxa"/>
            <w:tcBorders>
              <w:top w:val="single" w:sz="2" w:space="0" w:color="A6A6A6"/>
              <w:left w:val="single" w:sz="6" w:space="0" w:color="CCCCCC"/>
              <w:bottom w:val="single" w:sz="4" w:space="0" w:color="000000"/>
              <w:right w:val="single" w:sz="6" w:space="0" w:color="CCCCCC"/>
            </w:tcBorders>
            <w:shd w:color="auto" w:fill="auto" w:val="clear"/>
          </w:tcPr>
          <w:p>
            <w:pPr>
              <w:pStyle w:val="Normal"/>
              <w:ind w:left="31" w:hanging="0"/>
              <w:rPr>
                <w:rFonts w:ascii="Calibri Light" w:hAnsi="Calibri Light" w:eastAsia="Times New Roman" w:cs="Calibri Light" w:asciiTheme="majorHAnsi" w:cstheme="majorHAnsi" w:hAnsiTheme="majorHAnsi"/>
                <w:bCs/>
                <w:color w:val="002060"/>
                <w:sz w:val="18"/>
                <w:szCs w:val="16"/>
              </w:rPr>
            </w:pPr>
            <w:r>
              <w:rPr>
                <w:rFonts w:eastAsia="Times New Roman" w:cs="Calibri Light" w:cstheme="majorHAnsi"/>
                <w:bCs/>
                <w:color w:val="002060"/>
                <w:sz w:val="18"/>
                <w:szCs w:val="16"/>
              </w:rPr>
              <w:t>National Centre KPIs</w:t>
            </w:r>
          </w:p>
        </w:tc>
        <w:tc>
          <w:tcPr>
            <w:tcW w:w="7776" w:type="dxa"/>
            <w:tcBorders>
              <w:top w:val="single" w:sz="2" w:space="0" w:color="A6A6A6"/>
              <w:left w:val="single" w:sz="6" w:space="0" w:color="CCCCCC"/>
              <w:bottom w:val="single" w:sz="4" w:space="0" w:color="000000"/>
              <w:right w:val="single" w:sz="6" w:space="0" w:color="CCCCCC"/>
            </w:tcBorders>
            <w:shd w:color="auto" w:fill="auto" w:val="clear"/>
            <w:tcMar>
              <w:top w:w="0" w:type="dxa"/>
              <w:left w:w="7" w:type="dxa"/>
              <w:bottom w:w="0" w:type="dxa"/>
              <w:right w:w="7" w:type="dxa"/>
            </w:tcMar>
          </w:tcPr>
          <w:p>
            <w:pPr>
              <w:pStyle w:val="Normal"/>
              <w:ind w:left="31" w:hanging="0"/>
              <w:rPr>
                <w:rFonts w:ascii="Calibri Light" w:hAnsi="Calibri Light" w:eastAsia="Times New Roman" w:cs="Calibri Light" w:asciiTheme="majorHAnsi" w:cstheme="majorHAnsi" w:hAnsiTheme="majorHAnsi"/>
                <w:color w:val="000000" w:themeColor="text1"/>
                <w:sz w:val="20"/>
                <w:szCs w:val="20"/>
              </w:rPr>
            </w:pPr>
            <w:r>
              <w:rPr>
                <w:rFonts w:eastAsia="Times New Roman" w:cs="Calibri Light" w:cstheme="majorHAnsi"/>
                <w:color w:val="000000" w:themeColor="text1"/>
                <w:sz w:val="20"/>
                <w:szCs w:val="20"/>
              </w:rPr>
              <w:t>This project contributes to the following science outcome KPIs:</w:t>
            </w:r>
          </w:p>
          <w:p>
            <w:pPr>
              <w:pStyle w:val="ListParagraph"/>
              <w:numPr>
                <w:ilvl w:val="0"/>
                <w:numId w:val="7"/>
              </w:numPr>
              <w:rPr>
                <w:rFonts w:ascii="Calibri Light" w:hAnsi="Calibri Light" w:eastAsia="Times New Roman" w:cs="Calibri Light" w:asciiTheme="majorHAnsi" w:cstheme="majorHAnsi" w:hAnsiTheme="majorHAnsi"/>
                <w:color w:val="000000" w:themeColor="text1"/>
                <w:sz w:val="20"/>
                <w:szCs w:val="20"/>
              </w:rPr>
            </w:pPr>
            <w:r>
              <w:rPr>
                <w:rFonts w:eastAsia="Times New Roman" w:cs="Calibri Light" w:cstheme="majorHAnsi"/>
                <w:color w:val="000000" w:themeColor="text1"/>
                <w:sz w:val="20"/>
                <w:szCs w:val="20"/>
              </w:rPr>
              <w:t>Updated regional climate change projections have been modelled for New Zealand, the Southwest Pacific region and the Southern Ocean by 2024 to inform adaptation planning.</w:t>
            </w:r>
          </w:p>
          <w:p>
            <w:pPr>
              <w:pStyle w:val="ListParagraph"/>
              <w:numPr>
                <w:ilvl w:val="0"/>
                <w:numId w:val="7"/>
              </w:numPr>
              <w:spacing w:lineRule="auto" w:line="259" w:before="0" w:after="160"/>
              <w:contextualSpacing/>
              <w:rPr>
                <w:rFonts w:ascii="Calibri Light" w:hAnsi="Calibri Light" w:cs="Calibri Light" w:asciiTheme="majorHAnsi" w:cstheme="majorHAnsi" w:hAnsiTheme="majorHAnsi"/>
                <w:sz w:val="20"/>
                <w:szCs w:val="20"/>
              </w:rPr>
            </w:pPr>
            <w:r>
              <w:rPr>
                <w:rFonts w:cs="Calibri Light" w:cstheme="majorHAnsi"/>
                <w:sz w:val="20"/>
                <w:szCs w:val="20"/>
              </w:rPr>
              <w:t>The RiskScape hazard loss model has been further developed to include probabilistic assessment capability by 2023 and is used for risk assessments in New Zealand and the South-West Pacific.</w:t>
            </w:r>
          </w:p>
          <w:p>
            <w:pPr>
              <w:pStyle w:val="Normal"/>
              <w:ind w:left="31" w:hanging="0"/>
              <w:rPr>
                <w:rFonts w:ascii="Calibri Light" w:hAnsi="Calibri Light" w:eastAsia="Times New Roman" w:cs="Calibri Light" w:asciiTheme="majorHAnsi" w:cstheme="majorHAnsi" w:hAnsiTheme="majorHAnsi"/>
                <w:color w:val="000000" w:themeColor="text1"/>
                <w:sz w:val="20"/>
                <w:szCs w:val="20"/>
              </w:rPr>
            </w:pPr>
            <w:r>
              <w:rPr>
                <w:rFonts w:eastAsia="Times New Roman" w:cs="Calibri Light" w:cstheme="majorHAnsi"/>
                <w:color w:val="000000" w:themeColor="text1"/>
                <w:sz w:val="20"/>
                <w:szCs w:val="20"/>
              </w:rPr>
              <w:t>And organisational KPI:</w:t>
            </w:r>
          </w:p>
          <w:p>
            <w:pPr>
              <w:pStyle w:val="ListParagraph"/>
              <w:numPr>
                <w:ilvl w:val="0"/>
                <w:numId w:val="8"/>
              </w:numPr>
              <w:rPr>
                <w:rFonts w:ascii="Calibri Light" w:hAnsi="Calibri Light" w:eastAsia="Times New Roman" w:cs="Calibri Light" w:asciiTheme="majorHAnsi" w:cstheme="majorHAnsi" w:hAnsiTheme="majorHAnsi"/>
                <w:color w:val="000000" w:themeColor="text1"/>
                <w:sz w:val="20"/>
                <w:szCs w:val="20"/>
              </w:rPr>
            </w:pPr>
            <w:r>
              <w:rPr>
                <w:rFonts w:eastAsia="Times New Roman" w:cs="Calibri Light" w:cstheme="majorHAnsi"/>
                <w:color w:val="000000" w:themeColor="text1"/>
                <w:sz w:val="20"/>
                <w:szCs w:val="20"/>
              </w:rPr>
              <w:t>NIWA has contributed to New Zealand’s climate-change related support for the Pacific through involvement in at least two major initiatives by 2023.</w:t>
            </w:r>
          </w:p>
        </w:tc>
      </w:tr>
      <w:tr>
        <w:trPr/>
        <w:tc>
          <w:tcPr>
            <w:tcW w:w="2689" w:type="dxa"/>
            <w:tcBorders>
              <w:top w:val="single" w:sz="2" w:space="0" w:color="A6A6A6"/>
              <w:left w:val="single" w:sz="6" w:space="0" w:color="CCCCCC"/>
              <w:bottom w:val="single" w:sz="4" w:space="0" w:color="000000"/>
              <w:right w:val="single" w:sz="6" w:space="0" w:color="CCCCCC"/>
            </w:tcBorders>
            <w:shd w:color="auto" w:fill="auto" w:val="clear"/>
          </w:tcPr>
          <w:p>
            <w:pPr>
              <w:pStyle w:val="Normal"/>
              <w:ind w:left="31" w:hanging="0"/>
              <w:rPr>
                <w:rFonts w:ascii="Calibri Light" w:hAnsi="Calibri Light" w:eastAsia="Times New Roman" w:cs="Calibri Light" w:asciiTheme="majorHAnsi" w:cstheme="majorHAnsi" w:hAnsiTheme="majorHAnsi"/>
                <w:bCs/>
                <w:color w:val="002060"/>
                <w:sz w:val="18"/>
                <w:szCs w:val="16"/>
              </w:rPr>
            </w:pPr>
            <w:r>
              <w:rPr>
                <w:rFonts w:eastAsia="Times New Roman" w:cs="Calibri Light" w:cstheme="majorHAnsi"/>
                <w:bCs/>
                <w:color w:val="002060"/>
                <w:sz w:val="18"/>
                <w:szCs w:val="16"/>
              </w:rPr>
              <w:t>Integration within NIWA</w:t>
            </w:r>
          </w:p>
        </w:tc>
        <w:tc>
          <w:tcPr>
            <w:tcW w:w="7776" w:type="dxa"/>
            <w:tcBorders>
              <w:top w:val="single" w:sz="2" w:space="0" w:color="A6A6A6"/>
              <w:left w:val="single" w:sz="6" w:space="0" w:color="CCCCCC"/>
              <w:bottom w:val="single" w:sz="4" w:space="0" w:color="000000"/>
              <w:right w:val="single" w:sz="6" w:space="0" w:color="CCCCCC"/>
            </w:tcBorders>
            <w:shd w:color="auto" w:fill="auto" w:val="clear"/>
            <w:tcMar>
              <w:top w:w="0" w:type="dxa"/>
              <w:left w:w="7" w:type="dxa"/>
              <w:bottom w:w="0" w:type="dxa"/>
              <w:right w:w="7" w:type="dxa"/>
            </w:tcMar>
          </w:tcPr>
          <w:p>
            <w:pPr>
              <w:pStyle w:val="Normal"/>
              <w:ind w:left="31" w:hanging="0"/>
              <w:rPr>
                <w:rFonts w:ascii="Calibri Light" w:hAnsi="Calibri Light" w:eastAsia="Times New Roman" w:cs="Calibri Light" w:asciiTheme="majorHAnsi" w:cstheme="majorHAnsi" w:hAnsiTheme="majorHAnsi"/>
                <w:color w:val="000000" w:themeColor="text1"/>
                <w:sz w:val="20"/>
                <w:szCs w:val="20"/>
              </w:rPr>
            </w:pPr>
            <w:r>
              <w:rPr>
                <w:rFonts w:eastAsia="Times New Roman" w:cs="Calibri Light" w:cstheme="majorHAnsi"/>
                <w:color w:val="000000" w:themeColor="text1"/>
                <w:sz w:val="20"/>
                <w:szCs w:val="20"/>
              </w:rPr>
              <w:t xml:space="preserve">Our Pacific activities leverage the science programmes and projects carried out under other NIWA Centres, particularly Climate, Atmosphere and Hazards Centre, Oceans Centre, Fisheries and Environmental Information. </w:t>
            </w:r>
          </w:p>
        </w:tc>
      </w:tr>
    </w:tbl>
    <w:p>
      <w:pPr>
        <w:pStyle w:val="Normal"/>
        <w:rPr/>
      </w:pPr>
      <w:r>
        <w:rPr/>
      </w:r>
    </w:p>
    <w:tbl>
      <w:tblPr>
        <w:tblW w:w="5000" w:type="pct"/>
        <w:jc w:val="left"/>
        <w:tblInd w:w="0" w:type="dxa"/>
        <w:tblCellMar>
          <w:top w:w="30" w:type="dxa"/>
          <w:left w:w="30" w:type="dxa"/>
          <w:bottom w:w="30" w:type="dxa"/>
          <w:right w:w="30" w:type="dxa"/>
        </w:tblCellMar>
        <w:tblLook w:val="04a0" w:noHBand="0" w:noVBand="1" w:firstColumn="1" w:lastRow="0" w:lastColumn="0" w:firstRow="1"/>
      </w:tblPr>
      <w:tblGrid>
        <w:gridCol w:w="10466"/>
      </w:tblGrid>
      <w:tr>
        <w:trPr/>
        <w:tc>
          <w:tcPr>
            <w:tcW w:w="10466" w:type="dxa"/>
            <w:tcBorders>
              <w:top w:val="single" w:sz="24" w:space="0" w:color="1F4E79"/>
              <w:left w:val="single" w:sz="6" w:space="0" w:color="CCCCCC"/>
              <w:bottom w:val="single" w:sz="2" w:space="0" w:color="A6A6A6"/>
              <w:right w:val="single" w:sz="6" w:space="0" w:color="CCCCCC"/>
            </w:tcBorders>
            <w:shd w:color="auto" w:fill="auto" w:val="clear"/>
          </w:tcPr>
          <w:p>
            <w:pPr>
              <w:pStyle w:val="Normal"/>
              <w:ind w:left="31" w:hanging="0"/>
              <w:rPr>
                <w:rFonts w:ascii="Calibri Light" w:hAnsi="Calibri Light" w:eastAsia="Times New Roman" w:cs="Calibri Light" w:asciiTheme="majorHAnsi" w:cstheme="majorHAnsi" w:hAnsiTheme="majorHAnsi"/>
                <w:bCs/>
                <w:i/>
                <w:i/>
                <w:iCs/>
                <w:color w:val="002060"/>
                <w:szCs w:val="22"/>
              </w:rPr>
            </w:pPr>
            <w:r>
              <w:rPr>
                <w:rFonts w:eastAsia="Times New Roman" w:cs="Calibri Light" w:cstheme="majorHAnsi"/>
                <w:bCs/>
                <w:i/>
                <w:iCs/>
                <w:color w:val="002060"/>
                <w:szCs w:val="22"/>
              </w:rPr>
              <w:t xml:space="preserve">Project Rationale </w:t>
            </w:r>
          </w:p>
          <w:p>
            <w:pPr>
              <w:pStyle w:val="Normal"/>
              <w:ind w:left="31" w:hanging="0"/>
              <w:rPr>
                <w:rFonts w:ascii="Calibri Light" w:hAnsi="Calibri Light" w:eastAsia="Times New Roman" w:cs="Calibri Light" w:asciiTheme="majorHAnsi" w:cstheme="majorHAnsi" w:hAnsiTheme="majorHAnsi"/>
                <w:bCs/>
                <w:i/>
                <w:i/>
                <w:iCs/>
                <w:color w:val="002060"/>
                <w:szCs w:val="22"/>
              </w:rPr>
            </w:pPr>
            <w:r>
              <w:rPr>
                <w:rFonts w:eastAsia="Times New Roman" w:cs="Calibri Light" w:cstheme="majorHAnsi"/>
                <w:bCs/>
                <w:i/>
                <w:iCs/>
                <w:color w:val="002060"/>
                <w:sz w:val="18"/>
                <w:szCs w:val="16"/>
              </w:rPr>
              <w:t xml:space="preserve">Describe the proposed research, in the context of existing knowledge and how/why it will contribute to achieving the programme's science directions and knowledge transfer activities </w:t>
            </w:r>
          </w:p>
        </w:tc>
      </w:tr>
      <w:tr>
        <w:trPr/>
        <w:tc>
          <w:tcPr>
            <w:tcW w:w="10466" w:type="dxa"/>
            <w:tcBorders>
              <w:top w:val="single" w:sz="2" w:space="0" w:color="A6A6A6"/>
              <w:left w:val="single" w:sz="6" w:space="0" w:color="CCCCCC"/>
              <w:bottom w:val="single" w:sz="24" w:space="0" w:color="1F4E79"/>
              <w:right w:val="single" w:sz="6" w:space="0" w:color="CCCCCC"/>
            </w:tcBorders>
            <w:shd w:color="auto" w:fill="auto" w:val="clear"/>
          </w:tcPr>
          <w:p>
            <w:pPr>
              <w:pStyle w:val="Normal"/>
              <w:ind w:left="31" w:hanging="0"/>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The Pacific-Rim Centre acts as the NIWA focus for the external and internal coordination and dissemination of information on NIWA's international consultancy and applied research activities with a primary focus in the Pacific region. Our work in the region has the aim of improving management advice and local capacity in the Pacific region across all science areas where NIWA is identified as the lead science agency to support environmental, economic and resilience decision-making and development.</w:t>
            </w:r>
          </w:p>
          <w:p>
            <w:pPr>
              <w:pStyle w:val="Normal"/>
              <w:ind w:left="31" w:hanging="0"/>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r>
          </w:p>
          <w:p>
            <w:pPr>
              <w:pStyle w:val="Normal"/>
              <w:ind w:left="31" w:hanging="0"/>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The internal (within NIWA) role of the Centre in 2022-23 is to:</w:t>
            </w:r>
          </w:p>
          <w:p>
            <w:pPr>
              <w:pStyle w:val="Normal"/>
              <w:ind w:left="522" w:hanging="283"/>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w:t>
            </w:r>
            <w:r>
              <w:rPr>
                <w:rFonts w:eastAsia="Times New Roman" w:cs="Calibri Light" w:cstheme="majorHAnsi"/>
                <w:sz w:val="20"/>
                <w:szCs w:val="20"/>
              </w:rPr>
              <w:tab/>
              <w:t xml:space="preserve">Ensure effective communication between all staff involved or interested in international applied science activities. </w:t>
            </w:r>
          </w:p>
          <w:p>
            <w:pPr>
              <w:pStyle w:val="Normal"/>
              <w:ind w:left="522" w:hanging="283"/>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w:t>
            </w:r>
            <w:r>
              <w:rPr>
                <w:rFonts w:eastAsia="Times New Roman" w:cs="Calibri Light" w:cstheme="majorHAnsi"/>
                <w:sz w:val="20"/>
                <w:szCs w:val="20"/>
              </w:rPr>
              <w:tab/>
              <w:t>Collectively review and update out strategy through an updated Science Plan and associated strategy documents for the Pacific Rim activities.</w:t>
            </w:r>
          </w:p>
          <w:p>
            <w:pPr>
              <w:pStyle w:val="Normal"/>
              <w:ind w:left="522" w:hanging="283"/>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w:t>
            </w:r>
            <w:r>
              <w:rPr>
                <w:rFonts w:eastAsia="Times New Roman" w:cs="Calibri Light" w:cstheme="majorHAnsi"/>
                <w:sz w:val="20"/>
                <w:szCs w:val="20"/>
              </w:rPr>
              <w:tab/>
              <w:t>Contribute to the Statement of Corporate Intent by providing an overview of the sector and a prioritised list of objectives, key performance indicators and impact measures that take a 5-year outlook</w:t>
            </w:r>
          </w:p>
          <w:p>
            <w:pPr>
              <w:pStyle w:val="Normal"/>
              <w:ind w:left="522" w:hanging="283"/>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w:t>
            </w:r>
            <w:r>
              <w:rPr>
                <w:rFonts w:eastAsia="Times New Roman" w:cs="Calibri Light" w:cstheme="majorHAnsi"/>
                <w:sz w:val="20"/>
                <w:szCs w:val="20"/>
              </w:rPr>
              <w:tab/>
              <w:t>Maintain an up-to-date intranet pages containing relevant information to support staff involved in international activities.</w:t>
            </w:r>
          </w:p>
          <w:p>
            <w:pPr>
              <w:pStyle w:val="Normal"/>
              <w:ind w:left="522" w:hanging="283"/>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w:t>
            </w:r>
            <w:r>
              <w:rPr>
                <w:rFonts w:eastAsia="Times New Roman" w:cs="Calibri Light" w:cstheme="majorHAnsi"/>
                <w:sz w:val="20"/>
                <w:szCs w:val="20"/>
              </w:rPr>
              <w:tab/>
              <w:t>Develop marketing and supporting material to assist business development activities and the timely and effective preparation of Expressions of Interest and Proposals.</w:t>
            </w:r>
          </w:p>
          <w:p>
            <w:pPr>
              <w:pStyle w:val="Normal"/>
              <w:ind w:left="522" w:hanging="283"/>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w:t>
            </w:r>
            <w:r>
              <w:rPr>
                <w:rFonts w:eastAsia="Times New Roman" w:cs="Calibri Light" w:cstheme="majorHAnsi"/>
                <w:sz w:val="20"/>
                <w:szCs w:val="20"/>
              </w:rPr>
              <w:tab/>
              <w:t>Develop a wider number of staff with practical in-country experience, relationships and capacities in key areas, particularly climate-related hazards and risk.</w:t>
            </w:r>
          </w:p>
          <w:p>
            <w:pPr>
              <w:pStyle w:val="Normal"/>
              <w:ind w:left="522" w:hanging="283"/>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w:t>
            </w:r>
            <w:r>
              <w:rPr>
                <w:rFonts w:eastAsia="Times New Roman" w:cs="Calibri Light" w:cstheme="majorHAnsi"/>
                <w:sz w:val="20"/>
                <w:szCs w:val="20"/>
              </w:rPr>
              <w:tab/>
              <w:t xml:space="preserve">Support the development of key technical capabilities, linked to our core science, to support our applied science and commercial international activities </w:t>
            </w:r>
          </w:p>
          <w:p>
            <w:pPr>
              <w:pStyle w:val="Normal"/>
              <w:ind w:left="522" w:hanging="283"/>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w:t>
            </w:r>
            <w:r>
              <w:rPr>
                <w:rFonts w:eastAsia="Times New Roman" w:cs="Calibri Light" w:cstheme="majorHAnsi"/>
                <w:sz w:val="20"/>
                <w:szCs w:val="20"/>
              </w:rPr>
              <w:tab/>
              <w:t>Provide occasional internal training to develop staff competencies and to support staff work effectively and safely on overseas projects in developing countries.</w:t>
            </w:r>
          </w:p>
          <w:p>
            <w:pPr>
              <w:pStyle w:val="Normal"/>
              <w:ind w:left="522" w:hanging="283"/>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r>
          </w:p>
          <w:p>
            <w:pPr>
              <w:pStyle w:val="Normal"/>
              <w:ind w:left="522" w:hanging="283"/>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The external role of the Centre in 2022-23 is to:</w:t>
            </w:r>
          </w:p>
          <w:p>
            <w:pPr>
              <w:pStyle w:val="Normal"/>
              <w:ind w:left="522" w:hanging="283"/>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w:t>
            </w:r>
            <w:r>
              <w:rPr>
                <w:rFonts w:eastAsia="Times New Roman" w:cs="Calibri Light" w:cstheme="majorHAnsi"/>
                <w:sz w:val="20"/>
                <w:szCs w:val="20"/>
              </w:rPr>
              <w:tab/>
              <w:t>Act as a conduit for promoting and developing both existing and new applied science services in the Pacific region in collaboration with our various partners in the region.</w:t>
            </w:r>
          </w:p>
          <w:p>
            <w:pPr>
              <w:pStyle w:val="Normal"/>
              <w:ind w:left="522" w:hanging="283"/>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w:t>
            </w:r>
            <w:r>
              <w:rPr>
                <w:rFonts w:eastAsia="Times New Roman" w:cs="Calibri Light" w:cstheme="majorHAnsi"/>
                <w:sz w:val="20"/>
                <w:szCs w:val="20"/>
              </w:rPr>
              <w:tab/>
              <w:t>Establish and maintain a role for NIWA in providing technical guidance and support to the Ministry of Foreign Affairs, and key Pacific Island Government Ministries and Regional technical Agencies, in the areas where NIWA is identified as the lead science agency</w:t>
            </w:r>
          </w:p>
          <w:p>
            <w:pPr>
              <w:pStyle w:val="Normal"/>
              <w:ind w:left="522" w:hanging="283"/>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w:t>
            </w:r>
            <w:r>
              <w:rPr>
                <w:rFonts w:eastAsia="Times New Roman" w:cs="Calibri Light" w:cstheme="majorHAnsi"/>
                <w:sz w:val="20"/>
                <w:szCs w:val="20"/>
              </w:rPr>
              <w:tab/>
              <w:t>Continue to work with all other National Centres, to increase NIWA's profile within the Pacific region and internationally through: 1) ongoing development and broadening of relationships with key NZ, regional and in-country organisations, and 2) increasing awareness of NIWA's international applied research services and capabilities and communicate the value of science. This includes newsletters, up-to-date webpage, journal papers, and supporting material and activities.</w:t>
            </w:r>
          </w:p>
          <w:p>
            <w:pPr>
              <w:pStyle w:val="Normal"/>
              <w:ind w:left="522" w:hanging="283"/>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w:t>
            </w:r>
            <w:r>
              <w:rPr>
                <w:rFonts w:eastAsia="Times New Roman" w:cs="Calibri Light" w:cstheme="majorHAnsi"/>
                <w:sz w:val="20"/>
                <w:szCs w:val="20"/>
              </w:rPr>
              <w:tab/>
              <w:t>Promote NIWA's applied research capabilities and resources as widely as possible through varied media</w:t>
            </w:r>
          </w:p>
          <w:p>
            <w:pPr>
              <w:pStyle w:val="Normal"/>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r>
          </w:p>
        </w:tc>
      </w:tr>
    </w:tbl>
    <w:p>
      <w:pPr>
        <w:pStyle w:val="Normal"/>
        <w:rPr/>
      </w:pPr>
      <w:r>
        <w:rPr/>
      </w:r>
    </w:p>
    <w:tbl>
      <w:tblPr>
        <w:tblW w:w="5000" w:type="pct"/>
        <w:jc w:val="left"/>
        <w:tblInd w:w="0" w:type="dxa"/>
        <w:tblCellMar>
          <w:top w:w="30" w:type="dxa"/>
          <w:left w:w="30" w:type="dxa"/>
          <w:bottom w:w="30" w:type="dxa"/>
          <w:right w:w="30" w:type="dxa"/>
        </w:tblCellMar>
        <w:tblLook w:val="04a0" w:noHBand="0" w:noVBand="1" w:firstColumn="1" w:lastRow="0" w:lastColumn="0" w:firstRow="1"/>
      </w:tblPr>
      <w:tblGrid>
        <w:gridCol w:w="10466"/>
      </w:tblGrid>
      <w:tr>
        <w:trPr/>
        <w:tc>
          <w:tcPr>
            <w:tcW w:w="10466" w:type="dxa"/>
            <w:tcBorders>
              <w:top w:val="single" w:sz="24" w:space="0" w:color="1F4E79"/>
              <w:left w:val="single" w:sz="6" w:space="0" w:color="CCCCCC"/>
              <w:bottom w:val="single" w:sz="2" w:space="0" w:color="A6A6A6"/>
              <w:right w:val="single" w:sz="6" w:space="0" w:color="CCCCCC"/>
            </w:tcBorders>
            <w:shd w:color="auto" w:fill="auto" w:val="clear"/>
          </w:tcPr>
          <w:p>
            <w:pPr>
              <w:pStyle w:val="Normal"/>
              <w:ind w:left="31" w:hanging="0"/>
              <w:rPr>
                <w:rFonts w:ascii="Calibri Light" w:hAnsi="Calibri Light" w:eastAsia="Times New Roman" w:cs="Calibri Light" w:asciiTheme="majorHAnsi" w:cstheme="majorHAnsi" w:hAnsiTheme="majorHAnsi"/>
                <w:bCs/>
                <w:i/>
                <w:i/>
                <w:iCs/>
                <w:color w:val="002060"/>
                <w:szCs w:val="22"/>
              </w:rPr>
            </w:pPr>
            <w:r>
              <w:rPr>
                <w:rFonts w:eastAsia="Times New Roman" w:cs="Calibri Light" w:cstheme="majorHAnsi"/>
                <w:bCs/>
                <w:i/>
                <w:iCs/>
                <w:color w:val="002060"/>
                <w:szCs w:val="22"/>
              </w:rPr>
              <w:t xml:space="preserve">Objective—What science advances will be achieved this year? </w:t>
            </w:r>
          </w:p>
        </w:tc>
      </w:tr>
      <w:tr>
        <w:trPr/>
        <w:tc>
          <w:tcPr>
            <w:tcW w:w="10466" w:type="dxa"/>
            <w:tcBorders>
              <w:top w:val="single" w:sz="2" w:space="0" w:color="A6A6A6"/>
              <w:left w:val="single" w:sz="6" w:space="0" w:color="CCCCCC"/>
              <w:bottom w:val="single" w:sz="24" w:space="0" w:color="1F4E79"/>
              <w:right w:val="single" w:sz="6" w:space="0" w:color="CCCCCC"/>
            </w:tcBorders>
            <w:shd w:color="auto" w:fill="auto" w:val="clear"/>
          </w:tcPr>
          <w:p>
            <w:pPr>
              <w:pStyle w:val="Normal"/>
              <w:ind w:left="31" w:hanging="0"/>
              <w:rPr>
                <w:rFonts w:ascii="Calibri Light" w:hAnsi="Calibri Light" w:eastAsia="Times New Roman" w:cs="Calibri Light" w:asciiTheme="majorHAnsi" w:cstheme="majorHAnsi" w:hAnsiTheme="majorHAnsi"/>
                <w:bCs/>
                <w:color w:val="000000" w:themeColor="text1"/>
                <w:sz w:val="20"/>
                <w:szCs w:val="20"/>
              </w:rPr>
            </w:pPr>
            <w:r>
              <w:rPr>
                <w:rFonts w:eastAsia="Times New Roman" w:cs="Calibri Light" w:cstheme="majorHAnsi"/>
                <w:bCs/>
                <w:color w:val="000000" w:themeColor="text1"/>
                <w:sz w:val="20"/>
                <w:szCs w:val="20"/>
              </w:rPr>
              <w:t xml:space="preserve">This project underpins NIWA’s many activities and relationships in the Pacific region as well as ongoing mentoring, technical advice and support to our key Pacific Island country partners. The programme also supports some science advances and in 2022-23 this will focus on: </w:t>
            </w:r>
          </w:p>
          <w:p>
            <w:pPr>
              <w:pStyle w:val="Normal"/>
              <w:ind w:left="31" w:hanging="0"/>
              <w:rPr>
                <w:rFonts w:ascii="Calibri Light" w:hAnsi="Calibri Light" w:eastAsia="Times New Roman" w:cs="Calibri Light" w:asciiTheme="majorHAnsi" w:cstheme="majorHAnsi" w:hAnsiTheme="majorHAnsi"/>
                <w:bCs/>
                <w:color w:val="000000" w:themeColor="text1"/>
                <w:sz w:val="20"/>
                <w:szCs w:val="20"/>
              </w:rPr>
            </w:pPr>
            <w:r>
              <w:rPr>
                <w:rFonts w:eastAsia="Times New Roman" w:cs="Calibri Light" w:cstheme="majorHAnsi"/>
                <w:bCs/>
                <w:color w:val="000000" w:themeColor="text1"/>
                <w:sz w:val="20"/>
                <w:szCs w:val="20"/>
              </w:rPr>
            </w:r>
          </w:p>
          <w:p>
            <w:pPr>
              <w:pStyle w:val="ListParagraph"/>
              <w:numPr>
                <w:ilvl w:val="0"/>
                <w:numId w:val="1"/>
              </w:numPr>
              <w:rPr>
                <w:rFonts w:ascii="Calibri Light" w:hAnsi="Calibri Light" w:eastAsia="Times New Roman" w:cs="Calibri Light" w:asciiTheme="majorHAnsi" w:cstheme="majorHAnsi" w:hAnsiTheme="majorHAnsi"/>
                <w:bCs/>
                <w:color w:val="000000" w:themeColor="text1"/>
                <w:sz w:val="20"/>
                <w:szCs w:val="20"/>
              </w:rPr>
            </w:pPr>
            <w:r>
              <w:rPr>
                <w:rFonts w:eastAsia="Times New Roman" w:cs="Calibri Light" w:cstheme="majorHAnsi"/>
                <w:bCs/>
                <w:color w:val="000000" w:themeColor="text1"/>
                <w:sz w:val="20"/>
                <w:szCs w:val="20"/>
              </w:rPr>
              <w:t>Continue to support the science development that underpins the Island Climate Update. In this next year this will make advances in:</w:t>
            </w:r>
          </w:p>
          <w:p>
            <w:pPr>
              <w:pStyle w:val="ListParagraph"/>
              <w:numPr>
                <w:ilvl w:val="1"/>
                <w:numId w:val="1"/>
              </w:numPr>
              <w:rPr>
                <w:rFonts w:ascii="Calibri Light" w:hAnsi="Calibri Light" w:eastAsia="Times New Roman" w:cs="Calibri Light" w:asciiTheme="majorHAnsi" w:cstheme="majorHAnsi" w:hAnsiTheme="majorHAnsi"/>
                <w:bCs/>
                <w:color w:val="000000" w:themeColor="text1"/>
                <w:sz w:val="20"/>
                <w:szCs w:val="20"/>
              </w:rPr>
            </w:pPr>
            <w:r>
              <w:rPr>
                <w:rFonts w:eastAsia="Times New Roman" w:cs="Calibri Light" w:cstheme="majorHAnsi"/>
                <w:bCs/>
                <w:color w:val="000000" w:themeColor="text1"/>
                <w:sz w:val="20"/>
                <w:szCs w:val="20"/>
              </w:rPr>
              <w:t xml:space="preserve">Improving calculation of drought indices from satellite and real-time Multi-source weighted ensemble prediction (MSWEP) products </w:t>
            </w:r>
          </w:p>
          <w:p>
            <w:pPr>
              <w:pStyle w:val="ListParagraph"/>
              <w:numPr>
                <w:ilvl w:val="1"/>
                <w:numId w:val="1"/>
              </w:numPr>
              <w:rPr>
                <w:rFonts w:ascii="Calibri Light" w:hAnsi="Calibri Light" w:eastAsia="Times New Roman" w:cs="Calibri Light" w:asciiTheme="majorHAnsi" w:cstheme="majorHAnsi" w:hAnsiTheme="majorHAnsi"/>
                <w:bCs/>
                <w:color w:val="000000" w:themeColor="text1"/>
                <w:sz w:val="20"/>
                <w:szCs w:val="20"/>
              </w:rPr>
            </w:pPr>
            <w:r>
              <w:rPr>
                <w:rFonts w:eastAsia="Times New Roman" w:cs="Calibri Light" w:cstheme="majorHAnsi"/>
                <w:bCs/>
                <w:color w:val="000000" w:themeColor="text1"/>
                <w:sz w:val="20"/>
                <w:szCs w:val="20"/>
              </w:rPr>
              <w:t xml:space="preserve">Statistical and machine-learning bias correction for downscaling global climate model forecasts </w:t>
            </w:r>
          </w:p>
          <w:p>
            <w:pPr>
              <w:pStyle w:val="ListParagraph"/>
              <w:numPr>
                <w:ilvl w:val="1"/>
                <w:numId w:val="1"/>
              </w:numPr>
              <w:rPr>
                <w:rFonts w:ascii="Calibri Light" w:hAnsi="Calibri Light" w:eastAsia="Times New Roman" w:cs="Calibri Light" w:asciiTheme="majorHAnsi" w:cstheme="majorHAnsi" w:hAnsiTheme="majorHAnsi"/>
                <w:bCs/>
                <w:color w:val="000000" w:themeColor="text1"/>
                <w:sz w:val="20"/>
                <w:szCs w:val="20"/>
              </w:rPr>
            </w:pPr>
            <w:r>
              <w:rPr>
                <w:rFonts w:eastAsia="Times New Roman" w:cs="Calibri Light" w:cstheme="majorHAnsi"/>
                <w:bCs/>
                <w:color w:val="000000" w:themeColor="text1"/>
                <w:sz w:val="20"/>
                <w:szCs w:val="20"/>
              </w:rPr>
              <w:t xml:space="preserve">Further developing of probabilistic seasonal drought indices forecasts and development of new forecast products focussing on: 1) agricultural drought and 2) marine heat wave forecasts for the Pacific region </w:t>
            </w:r>
          </w:p>
          <w:p>
            <w:pPr>
              <w:pStyle w:val="Normal"/>
              <w:ind w:left="31" w:hanging="0"/>
              <w:rPr>
                <w:rFonts w:ascii="Calibri Light" w:hAnsi="Calibri Light" w:eastAsia="Times New Roman" w:cs="Calibri Light" w:asciiTheme="majorHAnsi" w:cstheme="majorHAnsi" w:hAnsiTheme="majorHAnsi"/>
                <w:bCs/>
                <w:color w:val="000000" w:themeColor="text1"/>
                <w:sz w:val="20"/>
                <w:szCs w:val="20"/>
              </w:rPr>
            </w:pPr>
            <w:r>
              <w:rPr>
                <w:rFonts w:eastAsia="Times New Roman" w:cs="Calibri Light" w:cstheme="majorHAnsi"/>
                <w:bCs/>
                <w:color w:val="000000" w:themeColor="text1"/>
                <w:sz w:val="20"/>
                <w:szCs w:val="20"/>
              </w:rPr>
            </w:r>
          </w:p>
          <w:p>
            <w:pPr>
              <w:pStyle w:val="ListParagraph"/>
              <w:numPr>
                <w:ilvl w:val="0"/>
                <w:numId w:val="1"/>
              </w:numPr>
              <w:rPr>
                <w:rFonts w:ascii="Calibri Light" w:hAnsi="Calibri Light" w:eastAsia="Times New Roman" w:cs="Calibri Light" w:asciiTheme="majorHAnsi" w:cstheme="majorHAnsi" w:hAnsiTheme="majorHAnsi"/>
                <w:bCs/>
                <w:color w:val="000000" w:themeColor="text1"/>
                <w:sz w:val="20"/>
                <w:szCs w:val="20"/>
              </w:rPr>
            </w:pPr>
            <w:r>
              <w:rPr>
                <w:rFonts w:eastAsia="Times New Roman" w:cs="Calibri Light" w:cstheme="majorHAnsi"/>
                <w:bCs/>
                <w:color w:val="000000" w:themeColor="text1"/>
                <w:sz w:val="20"/>
                <w:szCs w:val="20"/>
              </w:rPr>
              <w:t>Improving methodological approaches to assess the potential economic viability of transformative climate change adaptation options.</w:t>
            </w:r>
          </w:p>
          <w:p>
            <w:pPr>
              <w:pStyle w:val="ListParagraph"/>
              <w:numPr>
                <w:ilvl w:val="0"/>
                <w:numId w:val="1"/>
              </w:numPr>
              <w:rPr>
                <w:rFonts w:ascii="Calibri Light" w:hAnsi="Calibri Light" w:eastAsia="Times New Roman" w:cs="Calibri Light" w:asciiTheme="majorHAnsi" w:cstheme="majorHAnsi" w:hAnsiTheme="majorHAnsi"/>
                <w:bCs/>
                <w:color w:val="000000" w:themeColor="text1"/>
                <w:sz w:val="20"/>
                <w:szCs w:val="20"/>
              </w:rPr>
            </w:pPr>
            <w:r>
              <w:rPr>
                <w:rFonts w:eastAsia="Times New Roman" w:cs="Calibri Light" w:cstheme="majorHAnsi"/>
                <w:bCs/>
                <w:color w:val="000000" w:themeColor="text1"/>
                <w:sz w:val="20"/>
                <w:szCs w:val="20"/>
              </w:rPr>
              <w:t>Support Ocean science activities with Tonga partners leveraging off the 2022 Hunga Tonga-Hunga Ha'apai voyage and ongoing science activities with key regional agencies in ocean acidification.</w:t>
            </w:r>
          </w:p>
          <w:p>
            <w:pPr>
              <w:pStyle w:val="Normal"/>
              <w:ind w:left="31" w:hanging="0"/>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r>
          </w:p>
        </w:tc>
      </w:tr>
    </w:tbl>
    <w:p>
      <w:pPr>
        <w:pStyle w:val="Normal"/>
        <w:rPr/>
      </w:pPr>
      <w:r>
        <w:rPr/>
      </w:r>
    </w:p>
    <w:tbl>
      <w:tblPr>
        <w:tblW w:w="4950" w:type="pct"/>
        <w:jc w:val="left"/>
        <w:tblInd w:w="0" w:type="dxa"/>
        <w:tblCellMar>
          <w:top w:w="30" w:type="dxa"/>
          <w:left w:w="30" w:type="dxa"/>
          <w:bottom w:w="30" w:type="dxa"/>
          <w:right w:w="30" w:type="dxa"/>
        </w:tblCellMar>
        <w:tblLook w:val="04a0" w:noHBand="0" w:noVBand="1" w:firstColumn="1" w:lastRow="0" w:lastColumn="0" w:firstRow="1"/>
      </w:tblPr>
      <w:tblGrid>
        <w:gridCol w:w="10361"/>
      </w:tblGrid>
      <w:tr>
        <w:trPr/>
        <w:tc>
          <w:tcPr>
            <w:tcW w:w="10361" w:type="dxa"/>
            <w:tcBorders>
              <w:top w:val="single" w:sz="24" w:space="0" w:color="1F4E79"/>
              <w:left w:val="single" w:sz="6" w:space="0" w:color="CCCCCC"/>
              <w:bottom w:val="single" w:sz="2" w:space="0" w:color="A6A6A6"/>
              <w:right w:val="single" w:sz="6" w:space="0" w:color="CCCCCC"/>
            </w:tcBorders>
            <w:shd w:color="auto" w:fill="auto" w:val="clear"/>
          </w:tcPr>
          <w:p>
            <w:pPr>
              <w:pStyle w:val="Normal"/>
              <w:ind w:left="31" w:hanging="0"/>
              <w:rPr>
                <w:rFonts w:ascii="Calibri Light" w:hAnsi="Calibri Light" w:eastAsia="Times New Roman" w:cs="Calibri Light" w:asciiTheme="majorHAnsi" w:cstheme="majorHAnsi" w:hAnsiTheme="majorHAnsi"/>
                <w:bCs/>
                <w:i/>
                <w:i/>
                <w:iCs/>
                <w:color w:val="002060"/>
                <w:szCs w:val="22"/>
              </w:rPr>
            </w:pPr>
            <w:r>
              <w:rPr>
                <w:rFonts w:eastAsia="Times New Roman" w:cs="Calibri Light" w:cstheme="majorHAnsi"/>
                <w:bCs/>
                <w:i/>
                <w:iCs/>
                <w:color w:val="002060"/>
                <w:szCs w:val="22"/>
              </w:rPr>
              <w:t>Work programme—What activities will be done?</w:t>
            </w:r>
          </w:p>
        </w:tc>
      </w:tr>
      <w:tr>
        <w:trPr/>
        <w:tc>
          <w:tcPr>
            <w:tcW w:w="10361" w:type="dxa"/>
            <w:tcBorders>
              <w:top w:val="single" w:sz="2" w:space="0" w:color="A6A6A6"/>
              <w:left w:val="single" w:sz="6" w:space="0" w:color="CCCCCC"/>
              <w:bottom w:val="single" w:sz="2" w:space="0" w:color="A6A6A6"/>
              <w:right w:val="single" w:sz="6" w:space="0" w:color="CCCCCC"/>
            </w:tcBorders>
            <w:shd w:color="auto" w:fill="FFFFFF" w:themeFill="background1" w:val="clear"/>
          </w:tcPr>
          <w:p>
            <w:pPr>
              <w:pStyle w:val="Normal"/>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r>
          </w:p>
          <w:p>
            <w:pPr>
              <w:pStyle w:val="Normal"/>
              <w:rPr>
                <w:rFonts w:ascii="Calibri Light" w:hAnsi="Calibri Light" w:eastAsia="Times New Roman" w:cs="Calibri Light" w:asciiTheme="majorHAnsi" w:cstheme="majorHAnsi" w:hAnsiTheme="majorHAnsi"/>
                <w:b/>
                <w:b/>
                <w:bCs/>
                <w:sz w:val="20"/>
                <w:szCs w:val="20"/>
              </w:rPr>
            </w:pPr>
            <w:r>
              <w:rPr>
                <w:rFonts w:eastAsia="Times New Roman" w:cs="Calibri Light" w:cstheme="majorHAnsi"/>
                <w:b/>
                <w:bCs/>
                <w:sz w:val="20"/>
                <w:szCs w:val="20"/>
              </w:rPr>
              <w:t>Strategic activities</w:t>
            </w:r>
          </w:p>
          <w:p>
            <w:pPr>
              <w:pStyle w:val="ListParagraph"/>
              <w:numPr>
                <w:ilvl w:val="0"/>
                <w:numId w:val="2"/>
              </w:numPr>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Hold a science strategy meeting with core Pacific team from across NIWA to review and develop both our external and internal strategic direction and resourcing needs for our Pacific activities.</w:t>
            </w:r>
          </w:p>
          <w:p>
            <w:pPr>
              <w:pStyle w:val="ListParagraph"/>
              <w:numPr>
                <w:ilvl w:val="0"/>
                <w:numId w:val="2"/>
              </w:numPr>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Refine existing Science Plan for Pacific, identifying priority areas for business development, gaps for capability fund investment and staff capacity and needs.</w:t>
            </w:r>
          </w:p>
          <w:p>
            <w:pPr>
              <w:pStyle w:val="ListParagraph"/>
              <w:numPr>
                <w:ilvl w:val="0"/>
                <w:numId w:val="2"/>
              </w:numPr>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Produce the Pacific component of the SCI for 2023-2024 based on the strategies, priorities and needs identified during our strategy development process.</w:t>
            </w:r>
          </w:p>
          <w:p>
            <w:pPr>
              <w:pStyle w:val="ListParagraph"/>
              <w:numPr>
                <w:ilvl w:val="0"/>
                <w:numId w:val="2"/>
              </w:numPr>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Develop a 5-year strategy for ongoing development and maintenance of key software infrastructure used in our Pacific activities, namely CliDEsc and CliDEsc Portal.</w:t>
            </w:r>
          </w:p>
          <w:p>
            <w:pPr>
              <w:pStyle w:val="Normal"/>
              <w:ind w:left="381" w:hanging="284"/>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r>
          </w:p>
          <w:p>
            <w:pPr>
              <w:pStyle w:val="Normal"/>
              <w:rPr>
                <w:rFonts w:ascii="Calibri Light" w:hAnsi="Calibri Light" w:eastAsia="Times New Roman" w:cs="Calibri Light" w:asciiTheme="majorHAnsi" w:cstheme="majorHAnsi" w:hAnsiTheme="majorHAnsi"/>
                <w:b/>
                <w:b/>
                <w:bCs/>
                <w:sz w:val="20"/>
                <w:szCs w:val="20"/>
              </w:rPr>
            </w:pPr>
            <w:r>
              <w:rPr>
                <w:rFonts w:eastAsia="Times New Roman" w:cs="Calibri Light" w:cstheme="majorHAnsi"/>
                <w:b/>
                <w:bCs/>
                <w:sz w:val="20"/>
                <w:szCs w:val="20"/>
              </w:rPr>
              <w:t xml:space="preserve">Internal activities </w:t>
            </w:r>
          </w:p>
          <w:p>
            <w:pPr>
              <w:pStyle w:val="ListParagraph"/>
              <w:numPr>
                <w:ilvl w:val="0"/>
                <w:numId w:val="3"/>
              </w:numPr>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Maintain effective internal communications through a variety of approaches including email, videoconference and continued development of a comprehensive and up-to-date MS Team and sharepoint resource pages.</w:t>
            </w:r>
          </w:p>
          <w:p>
            <w:pPr>
              <w:pStyle w:val="ListParagraph"/>
              <w:numPr>
                <w:ilvl w:val="0"/>
                <w:numId w:val="3"/>
              </w:numPr>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 xml:space="preserve">Continue to work with NIWA communications team to identify media coverage opportunities for our international applied science activities and to revamp the Pacific Rim web page. </w:t>
            </w:r>
          </w:p>
          <w:p>
            <w:pPr>
              <w:pStyle w:val="ListParagraph"/>
              <w:numPr>
                <w:ilvl w:val="0"/>
                <w:numId w:val="3"/>
              </w:numPr>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Continue to track international opportunities and projects, respond to tenders, and coordinate the development of marketing and supporting material to produce high-quality proposals.</w:t>
            </w:r>
          </w:p>
          <w:p>
            <w:pPr>
              <w:pStyle w:val="ListParagraph"/>
              <w:numPr>
                <w:ilvl w:val="0"/>
                <w:numId w:val="3"/>
              </w:numPr>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 xml:space="preserve">Continue to support the development and experience of a wider range of NIWA staff to underpin our international commercial activities. </w:t>
            </w:r>
          </w:p>
          <w:p>
            <w:pPr>
              <w:pStyle w:val="ListParagraph"/>
              <w:numPr>
                <w:ilvl w:val="0"/>
                <w:numId w:val="3"/>
              </w:numPr>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 xml:space="preserve">With travel in the region re-commencing post Covid, re-run our </w:t>
            </w:r>
            <w:r>
              <w:rPr>
                <w:rFonts w:eastAsia="Times New Roman" w:cs="Calibri Light" w:cstheme="majorHAnsi"/>
                <w:i/>
                <w:iCs/>
                <w:sz w:val="20"/>
                <w:szCs w:val="20"/>
              </w:rPr>
              <w:t>Cultural awareness of working in the Pacific</w:t>
            </w:r>
            <w:r>
              <w:rPr>
                <w:rFonts w:eastAsia="Times New Roman" w:cs="Calibri Light" w:cstheme="majorHAnsi"/>
                <w:sz w:val="20"/>
                <w:szCs w:val="20"/>
              </w:rPr>
              <w:t xml:space="preserve"> and </w:t>
            </w:r>
            <w:r>
              <w:rPr>
                <w:rFonts w:eastAsia="Times New Roman" w:cs="Calibri Light" w:cstheme="majorHAnsi"/>
                <w:i/>
                <w:iCs/>
                <w:sz w:val="20"/>
                <w:szCs w:val="20"/>
              </w:rPr>
              <w:t>Keeping yourself health and safe working in the Pacific</w:t>
            </w:r>
            <w:r>
              <w:rPr>
                <w:rFonts w:eastAsia="Times New Roman" w:cs="Calibri Light" w:cstheme="majorHAnsi"/>
                <w:sz w:val="20"/>
                <w:szCs w:val="20"/>
              </w:rPr>
              <w:t xml:space="preserve"> internal courses to ensure staff have the skills and knowledge for working effectively in the Pacific region. </w:t>
            </w:r>
          </w:p>
          <w:p>
            <w:pPr>
              <w:pStyle w:val="ListParagraph"/>
              <w:numPr>
                <w:ilvl w:val="0"/>
                <w:numId w:val="3"/>
              </w:numPr>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Continue to review and update our Pacific Health &amp; Safety processes to ensure they fully meet our organisational H&amp;S objectives.</w:t>
            </w:r>
          </w:p>
          <w:p>
            <w:pPr>
              <w:pStyle w:val="Normal"/>
              <w:ind w:left="360" w:hanging="0"/>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r>
          </w:p>
          <w:p>
            <w:pPr>
              <w:pStyle w:val="Normal"/>
              <w:ind w:left="381" w:hanging="284"/>
              <w:rPr>
                <w:rFonts w:ascii="Calibri Light" w:hAnsi="Calibri Light" w:eastAsia="Times New Roman" w:cs="Calibri Light" w:asciiTheme="majorHAnsi" w:cstheme="majorHAnsi" w:hAnsiTheme="majorHAnsi"/>
                <w:b/>
                <w:b/>
                <w:bCs/>
                <w:sz w:val="20"/>
                <w:szCs w:val="20"/>
              </w:rPr>
            </w:pPr>
            <w:r>
              <w:rPr>
                <w:rFonts w:eastAsia="Times New Roman" w:cs="Calibri Light" w:cstheme="majorHAnsi"/>
                <w:b/>
                <w:bCs/>
                <w:sz w:val="20"/>
                <w:szCs w:val="20"/>
              </w:rPr>
              <w:t>External relationship activities</w:t>
            </w:r>
          </w:p>
          <w:p>
            <w:pPr>
              <w:pStyle w:val="ListParagraph"/>
              <w:numPr>
                <w:ilvl w:val="0"/>
                <w:numId w:val="4"/>
              </w:numPr>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 xml:space="preserve">Continue the building and expanding our relationship with MFAT through identifying opportunities to support MFAT deliver on its aid-related objectives, specifically its Climate Finance Programme, continue to develop linkages and awareness within MFAT of NIWA’s capabilities in delivering their strategic goals, sharing feedback from regional meetings and providing access to technical advice in areas where NIWA is the lead science agency. </w:t>
            </w:r>
          </w:p>
          <w:p>
            <w:pPr>
              <w:pStyle w:val="ListParagraph"/>
              <w:numPr>
                <w:ilvl w:val="0"/>
                <w:numId w:val="4"/>
              </w:numPr>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Continue to maintain and develop key technical in-country relationships through ongoing ad hoc advice and collegial support, particularly related to Pacific Meteorological and Hydrological sectors.</w:t>
            </w:r>
          </w:p>
          <w:p>
            <w:pPr>
              <w:pStyle w:val="ListParagraph"/>
              <w:numPr>
                <w:ilvl w:val="0"/>
                <w:numId w:val="4"/>
              </w:numPr>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Ensure NIWA has active representation at a minimum of eight key regional meetings annually in the Pacific-Asia region and continues to play an active role in the Pacific Meteorological Council, Pacific Island Climate Outlook Forum, contributor to the WMO Regional Climate Centre, Pacific Heads of Fisheries meeting and other key meetings.</w:t>
            </w:r>
          </w:p>
          <w:p>
            <w:pPr>
              <w:pStyle w:val="ListParagraph"/>
              <w:numPr>
                <w:ilvl w:val="0"/>
                <w:numId w:val="4"/>
              </w:numPr>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Support regular learning exchange forums with key Pacific partners to collectively share science activities and knowledge. This will continue to support the learning exchange with Samoa, build on the learning exchange commenced last year with SPC, and develop further learning exchanges with at least two other Pacific countries and one regional agency.</w:t>
            </w:r>
          </w:p>
          <w:p>
            <w:pPr>
              <w:pStyle w:val="ListParagraph"/>
              <w:numPr>
                <w:ilvl w:val="0"/>
                <w:numId w:val="4"/>
              </w:numPr>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Refresh the science relationship with SPREP and develop an MoU around more close collaboration on climate service development and delivery.</w:t>
            </w:r>
          </w:p>
          <w:p>
            <w:pPr>
              <w:pStyle w:val="ListParagraph"/>
              <w:numPr>
                <w:ilvl w:val="0"/>
                <w:numId w:val="4"/>
              </w:numPr>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 xml:space="preserve">Continue to collaborate with other key technical agencies working in the Pacific region, particularly WMO, NOAA, University of Hawaii, APEC Climate Center and where possible Bureau of Meteorology and CSIRO. </w:t>
            </w:r>
          </w:p>
          <w:p>
            <w:pPr>
              <w:pStyle w:val="Normal"/>
              <w:ind w:left="381" w:hanging="284"/>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r>
          </w:p>
          <w:p>
            <w:pPr>
              <w:pStyle w:val="Normal"/>
              <w:rPr>
                <w:rFonts w:ascii="Calibri Light" w:hAnsi="Calibri Light" w:eastAsia="Times New Roman" w:cs="Calibri Light" w:asciiTheme="majorHAnsi" w:cstheme="majorHAnsi" w:hAnsiTheme="majorHAnsi"/>
                <w:b/>
                <w:b/>
                <w:bCs/>
                <w:sz w:val="20"/>
                <w:szCs w:val="20"/>
              </w:rPr>
            </w:pPr>
            <w:r>
              <w:rPr>
                <w:rFonts w:eastAsia="Times New Roman" w:cs="Calibri Light" w:cstheme="majorHAnsi"/>
                <w:b/>
                <w:bCs/>
                <w:sz w:val="20"/>
                <w:szCs w:val="20"/>
              </w:rPr>
              <w:t>Science and technical development activities.</w:t>
            </w:r>
          </w:p>
          <w:p>
            <w:pPr>
              <w:pStyle w:val="ListParagraph"/>
              <w:numPr>
                <w:ilvl w:val="0"/>
                <w:numId w:val="5"/>
              </w:numPr>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Produce 12 issues of the Island Climate Update, the Tropical Cyclone outlook and provide technical input to Pacific Island Climate Outlook Forums, UN-OCHA Working Group and other relevant fora.</w:t>
            </w:r>
          </w:p>
          <w:p>
            <w:pPr>
              <w:pStyle w:val="ListParagraph"/>
              <w:numPr>
                <w:ilvl w:val="0"/>
                <w:numId w:val="5"/>
              </w:numPr>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Develop new science that underpins the products and information delivered through the Island Climate Update, with a focus on:</w:t>
            </w:r>
          </w:p>
          <w:p>
            <w:pPr>
              <w:pStyle w:val="ListParagraph"/>
              <w:numPr>
                <w:ilvl w:val="1"/>
                <w:numId w:val="5"/>
              </w:numPr>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 xml:space="preserve">Improving calculation of drought indices from satellite and real-time multi-source weighted ensemble prediction (MSWEP) products </w:t>
            </w:r>
          </w:p>
          <w:p>
            <w:pPr>
              <w:pStyle w:val="ListParagraph"/>
              <w:numPr>
                <w:ilvl w:val="1"/>
                <w:numId w:val="5"/>
              </w:numPr>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 xml:space="preserve">Statistical and machine-learning bias correction for downscaling global climate model forecasts </w:t>
            </w:r>
          </w:p>
          <w:p>
            <w:pPr>
              <w:pStyle w:val="ListParagraph"/>
              <w:numPr>
                <w:ilvl w:val="1"/>
                <w:numId w:val="5"/>
              </w:numPr>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Further developing of probabilistic seasonal drought indices forecasts and development of new forecast products focussing on: 1) agricultural drought and 2) marine heat wave forecasts for the Pacific region.</w:t>
            </w:r>
          </w:p>
          <w:p>
            <w:pPr>
              <w:pStyle w:val="ListParagraph"/>
              <w:numPr>
                <w:ilvl w:val="1"/>
                <w:numId w:val="5"/>
              </w:numPr>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 xml:space="preserve">Produce at least one journal science paper from this work. </w:t>
            </w:r>
          </w:p>
          <w:p>
            <w:pPr>
              <w:pStyle w:val="ListParagraph"/>
              <w:numPr>
                <w:ilvl w:val="0"/>
                <w:numId w:val="5"/>
              </w:numPr>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Support training and outreach activities as part of the Pacific Islands Ocean Acidification Training Centre (PIOAC) to upskill the PIOAC personnel in sensor deployment and maintenance, chemical analyses and data management (With Oceans Centre).</w:t>
            </w:r>
          </w:p>
          <w:p>
            <w:pPr>
              <w:pStyle w:val="ListParagraph"/>
              <w:numPr>
                <w:ilvl w:val="0"/>
                <w:numId w:val="5"/>
              </w:numPr>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 xml:space="preserve">Opportunistic support to the development of climate products and services developed through CliDEsc and CliDEsc Portal as a way of continuing to demonstrate the utility and impact of the tools. </w:t>
            </w:r>
          </w:p>
          <w:p>
            <w:pPr>
              <w:pStyle w:val="ListParagraph"/>
              <w:numPr>
                <w:ilvl w:val="0"/>
                <w:numId w:val="5"/>
              </w:numPr>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Discuss, identify and support ocean science activities with Tonga Government colleagues that leverage off the data collected during the 2022 Hunga Tonga-Hunga Ha'apai voyage (with Oceans Centre).</w:t>
            </w:r>
          </w:p>
          <w:p>
            <w:pPr>
              <w:pStyle w:val="ListParagraph"/>
              <w:numPr>
                <w:ilvl w:val="0"/>
                <w:numId w:val="5"/>
              </w:numPr>
              <w:rPr>
                <w:rFonts w:ascii="Calibri Light" w:hAnsi="Calibri Light" w:eastAsia="Times New Roman" w:cs="Calibri Light" w:asciiTheme="majorHAnsi" w:cstheme="majorHAnsi" w:hAnsiTheme="majorHAnsi"/>
                <w:sz w:val="20"/>
                <w:szCs w:val="20"/>
              </w:rPr>
            </w:pPr>
            <w:r>
              <w:rPr>
                <w:rFonts w:eastAsia="Times New Roman" w:cs="Calibri Light" w:cstheme="majorHAnsi"/>
                <w:sz w:val="20"/>
                <w:szCs w:val="20"/>
              </w:rPr>
              <w:t xml:space="preserve">Continue to support the methodological development of tools and practices needed to assess climate risk and adaptation options (with CAH Centre) </w:t>
            </w:r>
          </w:p>
        </w:tc>
      </w:tr>
    </w:tbl>
    <w:p>
      <w:pPr>
        <w:pStyle w:val="Normal"/>
        <w:rPr/>
      </w:pPr>
      <w:r>
        <w:rPr/>
      </w:r>
    </w:p>
    <w:tbl>
      <w:tblPr>
        <w:tblW w:w="5000" w:type="pct"/>
        <w:jc w:val="left"/>
        <w:tblInd w:w="0" w:type="dxa"/>
        <w:tblCellMar>
          <w:top w:w="30" w:type="dxa"/>
          <w:left w:w="30" w:type="dxa"/>
          <w:bottom w:w="30" w:type="dxa"/>
          <w:right w:w="30" w:type="dxa"/>
        </w:tblCellMar>
        <w:tblLook w:val="04a0" w:noHBand="0" w:noVBand="1" w:firstColumn="1" w:lastRow="0" w:lastColumn="0" w:firstRow="1"/>
      </w:tblPr>
      <w:tblGrid>
        <w:gridCol w:w="4960"/>
        <w:gridCol w:w="5505"/>
      </w:tblGrid>
      <w:tr>
        <w:trPr/>
        <w:tc>
          <w:tcPr>
            <w:tcW w:w="10465" w:type="dxa"/>
            <w:gridSpan w:val="2"/>
            <w:tcBorders>
              <w:top w:val="single" w:sz="24" w:space="0" w:color="1F4E79"/>
              <w:left w:val="single" w:sz="6" w:space="0" w:color="CCCCCC"/>
              <w:bottom w:val="single" w:sz="2" w:space="0" w:color="A6A6A6"/>
              <w:right w:val="single" w:sz="6" w:space="0" w:color="CCCCCC"/>
            </w:tcBorders>
            <w:shd w:color="auto" w:fill="auto" w:val="clear"/>
          </w:tcPr>
          <w:p>
            <w:pPr>
              <w:pStyle w:val="Normal"/>
              <w:ind w:left="31" w:hanging="0"/>
              <w:rPr>
                <w:rFonts w:ascii="Calibri Light" w:hAnsi="Calibri Light" w:eastAsia="Times New Roman" w:cs="Calibri Light" w:asciiTheme="majorHAnsi" w:cstheme="majorHAnsi" w:hAnsiTheme="majorHAnsi"/>
                <w:bCs/>
                <w:color w:val="002060"/>
                <w:szCs w:val="22"/>
              </w:rPr>
            </w:pPr>
            <w:r>
              <w:rPr>
                <w:rFonts w:eastAsia="Times New Roman" w:cs="Calibri Light" w:cstheme="majorHAnsi"/>
                <w:bCs/>
                <w:i/>
                <w:iCs/>
                <w:color w:val="002060"/>
                <w:szCs w:val="22"/>
              </w:rPr>
              <w:t xml:space="preserve">Outputs—List expected outputs for each component of the Work programme this year. This will form the basis for reporting the progress of the project. </w:t>
            </w:r>
          </w:p>
        </w:tc>
      </w:tr>
      <w:tr>
        <w:trPr/>
        <w:tc>
          <w:tcPr>
            <w:tcW w:w="4960" w:type="dxa"/>
            <w:tcBorders>
              <w:top w:val="single" w:sz="2" w:space="0" w:color="A6A6A6"/>
              <w:left w:val="single" w:sz="6" w:space="0" w:color="CCCCCC"/>
              <w:bottom w:val="single" w:sz="2" w:space="0" w:color="A6A6A6"/>
              <w:right w:val="single" w:sz="6" w:space="0" w:color="CCCCCC"/>
            </w:tcBorders>
            <w:shd w:color="auto" w:fill="auto" w:val="clear"/>
          </w:tcPr>
          <w:p>
            <w:pPr>
              <w:pStyle w:val="Normal"/>
              <w:ind w:left="685" w:hanging="567"/>
              <w:rPr>
                <w:rFonts w:ascii="Calibri Light" w:hAnsi="Calibri Light" w:eastAsia="Times New Roman" w:cs="Calibri Light" w:asciiTheme="majorHAnsi" w:cstheme="majorHAnsi" w:hAnsiTheme="majorHAnsi"/>
                <w:i/>
                <w:i/>
                <w:iCs/>
                <w:color w:val="002060"/>
                <w:sz w:val="20"/>
                <w:szCs w:val="20"/>
              </w:rPr>
            </w:pPr>
            <w:r>
              <w:rPr>
                <w:rFonts w:eastAsia="Times New Roman" w:cs="Calibri Light" w:cstheme="majorHAnsi"/>
                <w:i/>
                <w:iCs/>
                <w:color w:val="002060"/>
                <w:sz w:val="20"/>
                <w:szCs w:val="20"/>
              </w:rPr>
              <w:t>Description (outputs to be produced)</w:t>
            </w:r>
          </w:p>
        </w:tc>
        <w:tc>
          <w:tcPr>
            <w:tcW w:w="5505" w:type="dxa"/>
            <w:tcBorders>
              <w:top w:val="single" w:sz="2" w:space="0" w:color="A6A6A6"/>
              <w:left w:val="single" w:sz="6" w:space="0" w:color="CCCCCC"/>
              <w:bottom w:val="single" w:sz="2" w:space="0" w:color="A6A6A6"/>
              <w:right w:val="single" w:sz="6" w:space="0" w:color="CCCCCC"/>
            </w:tcBorders>
            <w:shd w:color="auto" w:fill="auto" w:val="clear"/>
            <w:tcMar>
              <w:top w:w="0" w:type="dxa"/>
              <w:left w:w="7" w:type="dxa"/>
              <w:bottom w:w="0" w:type="dxa"/>
              <w:right w:w="7" w:type="dxa"/>
            </w:tcMar>
          </w:tcPr>
          <w:p>
            <w:pPr>
              <w:pStyle w:val="Normal"/>
              <w:ind w:left="685" w:hanging="567"/>
              <w:rPr>
                <w:rFonts w:ascii="Calibri Light" w:hAnsi="Calibri Light" w:eastAsia="Times New Roman" w:cs="Calibri Light" w:asciiTheme="majorHAnsi" w:cstheme="majorHAnsi" w:hAnsiTheme="majorHAnsi"/>
                <w:color w:val="7F7F7F" w:themeColor="text1" w:themeTint="80"/>
                <w:sz w:val="20"/>
                <w:szCs w:val="20"/>
              </w:rPr>
            </w:pPr>
            <w:r>
              <w:rPr>
                <w:rFonts w:eastAsia="Times New Roman" w:cs="Calibri Light" w:cstheme="majorHAnsi"/>
                <w:i/>
                <w:iCs/>
                <w:color w:val="002060"/>
                <w:sz w:val="20"/>
                <w:szCs w:val="20"/>
              </w:rPr>
              <w:t>Comment (value of the outputs and their intended audience)</w:t>
            </w:r>
          </w:p>
        </w:tc>
      </w:tr>
      <w:tr>
        <w:trPr/>
        <w:tc>
          <w:tcPr>
            <w:tcW w:w="4960" w:type="dxa"/>
            <w:tcBorders>
              <w:top w:val="single" w:sz="2" w:space="0" w:color="A6A6A6"/>
              <w:left w:val="single" w:sz="6" w:space="0" w:color="CCCCCC"/>
              <w:bottom w:val="single" w:sz="2" w:space="0" w:color="A6A6A6"/>
              <w:right w:val="single" w:sz="6" w:space="0" w:color="CCCCCC"/>
            </w:tcBorders>
            <w:shd w:color="auto" w:fill="FFFFFF" w:val="clear"/>
          </w:tcPr>
          <w:p>
            <w:pPr>
              <w:pStyle w:val="Normal"/>
              <w:rPr>
                <w:rFonts w:ascii="Calibri Light" w:hAnsi="Calibri Light" w:cs="Calibri Light" w:asciiTheme="majorHAnsi" w:cstheme="majorHAnsi" w:hAnsiTheme="majorHAnsi"/>
                <w:sz w:val="20"/>
                <w:szCs w:val="20"/>
              </w:rPr>
            </w:pPr>
            <w:r>
              <w:rPr>
                <w:rFonts w:cs="Calibri Light" w:cstheme="majorHAnsi"/>
                <w:sz w:val="20"/>
                <w:szCs w:val="20"/>
              </w:rPr>
              <w:t>Updated A3 Strategic Plan for Pacific Rim &amp; Pacific Rim contribution to the SCI</w:t>
            </w:r>
          </w:p>
        </w:tc>
        <w:tc>
          <w:tcPr>
            <w:tcW w:w="5505" w:type="dxa"/>
            <w:tcBorders>
              <w:top w:val="single" w:sz="2" w:space="0" w:color="A6A6A6"/>
              <w:left w:val="single" w:sz="6" w:space="0" w:color="CCCCCC"/>
              <w:bottom w:val="single" w:sz="2" w:space="0" w:color="A6A6A6"/>
              <w:right w:val="single" w:sz="6" w:space="0" w:color="CCCCCC"/>
            </w:tcBorders>
            <w:shd w:color="auto" w:fill="FFFFFF" w:val="clear"/>
            <w:tcMar>
              <w:top w:w="0" w:type="dxa"/>
              <w:left w:w="7" w:type="dxa"/>
              <w:bottom w:w="0" w:type="dxa"/>
              <w:right w:w="7" w:type="dxa"/>
            </w:tcMar>
          </w:tcPr>
          <w:p>
            <w:pPr>
              <w:pStyle w:val="Normal"/>
              <w:rPr>
                <w:rFonts w:ascii="Calibri Light" w:hAnsi="Calibri Light" w:cs="Calibri Light" w:asciiTheme="majorHAnsi" w:cstheme="majorHAnsi" w:hAnsiTheme="majorHAnsi"/>
                <w:color w:val="000000" w:themeColor="text1"/>
                <w:sz w:val="20"/>
                <w:szCs w:val="20"/>
              </w:rPr>
            </w:pPr>
            <w:r>
              <w:rPr>
                <w:rFonts w:cs="Calibri Light" w:cstheme="majorHAnsi"/>
                <w:color w:val="000000" w:themeColor="text1"/>
                <w:sz w:val="20"/>
                <w:szCs w:val="20"/>
              </w:rPr>
              <w:t>Internal NIWA Audience</w:t>
            </w:r>
          </w:p>
        </w:tc>
      </w:tr>
      <w:tr>
        <w:trPr/>
        <w:tc>
          <w:tcPr>
            <w:tcW w:w="4960" w:type="dxa"/>
            <w:tcBorders>
              <w:top w:val="single" w:sz="2" w:space="0" w:color="A6A6A6"/>
              <w:left w:val="single" w:sz="6" w:space="0" w:color="CCCCCC"/>
              <w:bottom w:val="single" w:sz="2" w:space="0" w:color="A6A6A6"/>
              <w:right w:val="single" w:sz="6" w:space="0" w:color="CCCCCC"/>
            </w:tcBorders>
            <w:shd w:color="auto" w:fill="FFFFFF" w:val="clear"/>
          </w:tcPr>
          <w:p>
            <w:pPr>
              <w:pStyle w:val="Normal"/>
              <w:rPr>
                <w:rFonts w:ascii="Calibri Light" w:hAnsi="Calibri Light" w:cs="Calibri Light" w:asciiTheme="majorHAnsi" w:cstheme="majorHAnsi" w:hAnsiTheme="majorHAnsi"/>
                <w:sz w:val="20"/>
                <w:szCs w:val="20"/>
              </w:rPr>
            </w:pPr>
            <w:r>
              <w:rPr>
                <w:rFonts w:cs="Calibri Light" w:cstheme="majorHAnsi"/>
                <w:sz w:val="20"/>
                <w:szCs w:val="20"/>
              </w:rPr>
              <w:t>5 year strategy plan for CliDESc and CliDEsc Portal</w:t>
            </w:r>
          </w:p>
        </w:tc>
        <w:tc>
          <w:tcPr>
            <w:tcW w:w="5505" w:type="dxa"/>
            <w:tcBorders>
              <w:top w:val="single" w:sz="2" w:space="0" w:color="A6A6A6"/>
              <w:left w:val="single" w:sz="6" w:space="0" w:color="CCCCCC"/>
              <w:bottom w:val="single" w:sz="2" w:space="0" w:color="A6A6A6"/>
              <w:right w:val="single" w:sz="6" w:space="0" w:color="CCCCCC"/>
            </w:tcBorders>
            <w:shd w:color="auto" w:fill="FFFFFF" w:val="clear"/>
            <w:tcMar>
              <w:top w:w="0" w:type="dxa"/>
              <w:left w:w="7" w:type="dxa"/>
              <w:bottom w:w="0" w:type="dxa"/>
              <w:right w:w="7" w:type="dxa"/>
            </w:tcMar>
          </w:tcPr>
          <w:p>
            <w:pPr>
              <w:pStyle w:val="Normal"/>
              <w:rPr>
                <w:rFonts w:ascii="Calibri Light" w:hAnsi="Calibri Light" w:cs="Calibri Light" w:asciiTheme="majorHAnsi" w:cstheme="majorHAnsi" w:hAnsiTheme="majorHAnsi"/>
                <w:color w:val="000000" w:themeColor="text1"/>
                <w:sz w:val="20"/>
                <w:szCs w:val="20"/>
              </w:rPr>
            </w:pPr>
            <w:r>
              <w:rPr>
                <w:rFonts w:cs="Calibri Light" w:cstheme="majorHAnsi"/>
                <w:color w:val="000000" w:themeColor="text1"/>
                <w:sz w:val="20"/>
                <w:szCs w:val="20"/>
              </w:rPr>
              <w:t>Internal NIWA Audience</w:t>
            </w:r>
          </w:p>
        </w:tc>
      </w:tr>
      <w:tr>
        <w:trPr/>
        <w:tc>
          <w:tcPr>
            <w:tcW w:w="4960" w:type="dxa"/>
            <w:tcBorders>
              <w:top w:val="single" w:sz="2" w:space="0" w:color="A6A6A6"/>
              <w:left w:val="single" w:sz="6" w:space="0" w:color="CCCCCC"/>
              <w:bottom w:val="single" w:sz="2" w:space="0" w:color="A6A6A6"/>
              <w:right w:val="single" w:sz="6" w:space="0" w:color="CCCCCC"/>
            </w:tcBorders>
            <w:shd w:color="auto" w:fill="FFFFFF" w:val="clear"/>
          </w:tcPr>
          <w:p>
            <w:pPr>
              <w:pStyle w:val="Normal"/>
              <w:rPr>
                <w:rFonts w:ascii="Calibri Light" w:hAnsi="Calibri Light" w:cs="Calibri Light" w:asciiTheme="majorHAnsi" w:cstheme="majorHAnsi" w:hAnsiTheme="majorHAnsi"/>
                <w:sz w:val="20"/>
                <w:szCs w:val="20"/>
              </w:rPr>
            </w:pPr>
            <w:r>
              <w:rPr>
                <w:rFonts w:cs="Calibri Light" w:cstheme="majorHAnsi"/>
                <w:sz w:val="20"/>
                <w:szCs w:val="20"/>
              </w:rPr>
              <w:t>12 issues of the Island Climate Update including video forecast</w:t>
            </w:r>
          </w:p>
        </w:tc>
        <w:tc>
          <w:tcPr>
            <w:tcW w:w="5505" w:type="dxa"/>
            <w:tcBorders>
              <w:top w:val="single" w:sz="2" w:space="0" w:color="A6A6A6"/>
              <w:left w:val="single" w:sz="6" w:space="0" w:color="CCCCCC"/>
              <w:bottom w:val="single" w:sz="2" w:space="0" w:color="A6A6A6"/>
              <w:right w:val="single" w:sz="6" w:space="0" w:color="CCCCCC"/>
            </w:tcBorders>
            <w:shd w:color="auto" w:fill="FFFFFF" w:val="clear"/>
            <w:tcMar>
              <w:top w:w="0" w:type="dxa"/>
              <w:left w:w="7" w:type="dxa"/>
              <w:bottom w:w="0" w:type="dxa"/>
              <w:right w:w="7" w:type="dxa"/>
            </w:tcMar>
          </w:tcPr>
          <w:p>
            <w:pPr>
              <w:pStyle w:val="Normal"/>
              <w:rPr>
                <w:rFonts w:ascii="Calibri Light" w:hAnsi="Calibri Light" w:cs="Calibri Light" w:asciiTheme="majorHAnsi" w:cstheme="majorHAnsi" w:hAnsiTheme="majorHAnsi"/>
                <w:color w:val="7F7F7F" w:themeColor="text1" w:themeTint="80"/>
                <w:sz w:val="20"/>
                <w:szCs w:val="20"/>
              </w:rPr>
            </w:pPr>
            <w:r>
              <w:rPr>
                <w:rFonts w:cs="Calibri Light" w:cstheme="majorHAnsi"/>
                <w:color w:val="000000" w:themeColor="text1"/>
                <w:sz w:val="20"/>
                <w:szCs w:val="20"/>
              </w:rPr>
              <w:t xml:space="preserve">Pacific Regional and Country agencies and Pacific users of climate forecast information. </w:t>
            </w:r>
          </w:p>
        </w:tc>
      </w:tr>
      <w:tr>
        <w:trPr/>
        <w:tc>
          <w:tcPr>
            <w:tcW w:w="4960" w:type="dxa"/>
            <w:tcBorders>
              <w:top w:val="single" w:sz="2" w:space="0" w:color="A6A6A6"/>
              <w:left w:val="single" w:sz="6" w:space="0" w:color="CCCCCC"/>
              <w:bottom w:val="single" w:sz="2" w:space="0" w:color="A6A6A6"/>
              <w:right w:val="single" w:sz="6" w:space="0" w:color="CCCCCC"/>
            </w:tcBorders>
            <w:shd w:color="auto" w:fill="FFFFFF" w:val="clear"/>
          </w:tcPr>
          <w:p>
            <w:pPr>
              <w:pStyle w:val="Normal"/>
              <w:rPr>
                <w:rFonts w:ascii="Calibri Light" w:hAnsi="Calibri Light" w:cs="Calibri Light" w:asciiTheme="majorHAnsi" w:cstheme="majorHAnsi" w:hAnsiTheme="majorHAnsi"/>
                <w:sz w:val="20"/>
                <w:szCs w:val="20"/>
              </w:rPr>
            </w:pPr>
            <w:r>
              <w:rPr>
                <w:rFonts w:cs="Calibri Light" w:cstheme="majorHAnsi"/>
                <w:sz w:val="20"/>
                <w:szCs w:val="20"/>
              </w:rPr>
              <w:t>Tropical Cyclone Outlook produced</w:t>
            </w:r>
          </w:p>
        </w:tc>
        <w:tc>
          <w:tcPr>
            <w:tcW w:w="5505" w:type="dxa"/>
            <w:tcBorders>
              <w:top w:val="single" w:sz="2" w:space="0" w:color="A6A6A6"/>
              <w:left w:val="single" w:sz="6" w:space="0" w:color="CCCCCC"/>
              <w:bottom w:val="single" w:sz="2" w:space="0" w:color="A6A6A6"/>
              <w:right w:val="single" w:sz="6" w:space="0" w:color="CCCCCC"/>
            </w:tcBorders>
            <w:shd w:color="auto" w:fill="FFFFFF" w:val="clear"/>
            <w:tcMar>
              <w:top w:w="0" w:type="dxa"/>
              <w:left w:w="7" w:type="dxa"/>
              <w:bottom w:w="0" w:type="dxa"/>
              <w:right w:w="7" w:type="dxa"/>
            </w:tcMar>
          </w:tcPr>
          <w:p>
            <w:pPr>
              <w:pStyle w:val="Normal"/>
              <w:rPr>
                <w:rFonts w:ascii="Calibri Light" w:hAnsi="Calibri Light" w:cs="Calibri Light" w:asciiTheme="majorHAnsi" w:cstheme="majorHAnsi" w:hAnsiTheme="majorHAnsi"/>
                <w:sz w:val="20"/>
                <w:szCs w:val="20"/>
              </w:rPr>
            </w:pPr>
            <w:r>
              <w:rPr>
                <w:rFonts w:cs="Calibri Light" w:cstheme="majorHAnsi"/>
                <w:sz w:val="20"/>
                <w:szCs w:val="20"/>
              </w:rPr>
              <w:t>Pacific Regional and Country agencies including National Disaster Management Organisations and key donor support agencies (e.g. MFAT)</w:t>
            </w:r>
          </w:p>
        </w:tc>
      </w:tr>
      <w:tr>
        <w:trPr/>
        <w:tc>
          <w:tcPr>
            <w:tcW w:w="4960" w:type="dxa"/>
            <w:tcBorders>
              <w:top w:val="single" w:sz="2" w:space="0" w:color="A6A6A6"/>
              <w:left w:val="single" w:sz="6" w:space="0" w:color="CCCCCC"/>
              <w:bottom w:val="single" w:sz="2" w:space="0" w:color="A6A6A6"/>
              <w:right w:val="single" w:sz="6" w:space="0" w:color="CCCCCC"/>
            </w:tcBorders>
            <w:shd w:color="auto" w:fill="FFFFFF" w:val="clear"/>
          </w:tcPr>
          <w:p>
            <w:pPr>
              <w:pStyle w:val="Normal"/>
              <w:rPr>
                <w:rFonts w:ascii="Calibri Light" w:hAnsi="Calibri Light" w:cs="Calibri Light" w:asciiTheme="majorHAnsi" w:cstheme="majorHAnsi" w:hAnsiTheme="majorHAnsi"/>
                <w:sz w:val="20"/>
                <w:szCs w:val="20"/>
              </w:rPr>
            </w:pPr>
            <w:r>
              <w:rPr>
                <w:rFonts w:cs="Calibri Light" w:cstheme="majorHAnsi"/>
                <w:sz w:val="20"/>
                <w:szCs w:val="20"/>
              </w:rPr>
              <w:t>2 Pacific Island Climate Outlook Forum statements produced (with other regional technical collaborators)</w:t>
            </w:r>
          </w:p>
        </w:tc>
        <w:tc>
          <w:tcPr>
            <w:tcW w:w="5505" w:type="dxa"/>
            <w:tcBorders>
              <w:top w:val="single" w:sz="2" w:space="0" w:color="A6A6A6"/>
              <w:left w:val="single" w:sz="6" w:space="0" w:color="CCCCCC"/>
              <w:bottom w:val="single" w:sz="2" w:space="0" w:color="A6A6A6"/>
              <w:right w:val="single" w:sz="6" w:space="0" w:color="CCCCCC"/>
            </w:tcBorders>
            <w:shd w:color="auto" w:fill="FFFFFF" w:val="clear"/>
            <w:tcMar>
              <w:top w:w="0" w:type="dxa"/>
              <w:left w:w="7" w:type="dxa"/>
              <w:bottom w:w="0" w:type="dxa"/>
              <w:right w:w="7" w:type="dxa"/>
            </w:tcMar>
          </w:tcPr>
          <w:p>
            <w:pPr>
              <w:pStyle w:val="Normal"/>
              <w:rPr>
                <w:rFonts w:ascii="Calibri Light" w:hAnsi="Calibri Light" w:cs="Calibri Light" w:asciiTheme="majorHAnsi" w:cstheme="majorHAnsi" w:hAnsiTheme="majorHAnsi"/>
                <w:sz w:val="20"/>
                <w:szCs w:val="20"/>
              </w:rPr>
            </w:pPr>
            <w:r>
              <w:rPr>
                <w:rFonts w:cs="Calibri Light" w:cstheme="majorHAnsi"/>
                <w:color w:val="000000" w:themeColor="text1"/>
                <w:sz w:val="20"/>
                <w:szCs w:val="20"/>
              </w:rPr>
              <w:t>Pacific Regional and Country agencies and users of climate forecast information.</w:t>
            </w:r>
          </w:p>
        </w:tc>
      </w:tr>
      <w:tr>
        <w:trPr/>
        <w:tc>
          <w:tcPr>
            <w:tcW w:w="4960" w:type="dxa"/>
            <w:tcBorders>
              <w:top w:val="single" w:sz="2" w:space="0" w:color="A6A6A6"/>
              <w:left w:val="single" w:sz="6" w:space="0" w:color="CCCCCC"/>
              <w:bottom w:val="single" w:sz="24" w:space="0" w:color="1F4E79"/>
              <w:right w:val="single" w:sz="6" w:space="0" w:color="CCCCCC"/>
            </w:tcBorders>
            <w:shd w:color="auto" w:fill="FFFFFF" w:val="clear"/>
          </w:tcPr>
          <w:p>
            <w:pPr>
              <w:pStyle w:val="Normal"/>
              <w:rPr>
                <w:rFonts w:ascii="Calibri Light" w:hAnsi="Calibri Light" w:cs="Calibri Light" w:asciiTheme="majorHAnsi" w:cstheme="majorHAnsi" w:hAnsiTheme="majorHAnsi"/>
                <w:sz w:val="20"/>
                <w:szCs w:val="20"/>
              </w:rPr>
            </w:pPr>
            <w:r>
              <w:rPr>
                <w:rFonts w:cs="Calibri Light" w:cstheme="majorHAnsi"/>
                <w:sz w:val="20"/>
                <w:szCs w:val="20"/>
              </w:rPr>
              <w:t>1 journal paper published/submitted on science activities underpinning our Island Climate Update activities</w:t>
            </w:r>
          </w:p>
        </w:tc>
        <w:tc>
          <w:tcPr>
            <w:tcW w:w="5505" w:type="dxa"/>
            <w:tcBorders>
              <w:top w:val="single" w:sz="2" w:space="0" w:color="A6A6A6"/>
              <w:left w:val="single" w:sz="6" w:space="0" w:color="CCCCCC"/>
              <w:bottom w:val="single" w:sz="24" w:space="0" w:color="1F4E79"/>
              <w:right w:val="single" w:sz="6" w:space="0" w:color="CCCCCC"/>
            </w:tcBorders>
            <w:shd w:color="auto" w:fill="FFFFFF" w:val="clear"/>
            <w:tcMar>
              <w:top w:w="0" w:type="dxa"/>
              <w:left w:w="7" w:type="dxa"/>
              <w:bottom w:w="0" w:type="dxa"/>
              <w:right w:w="7" w:type="dxa"/>
            </w:tcMar>
          </w:tcPr>
          <w:p>
            <w:pPr>
              <w:pStyle w:val="Normal"/>
              <w:rPr>
                <w:rFonts w:ascii="Calibri Light" w:hAnsi="Calibri Light" w:cs="Calibri Light" w:asciiTheme="majorHAnsi" w:cstheme="majorHAnsi" w:hAnsiTheme="majorHAnsi"/>
                <w:color w:val="000000" w:themeColor="text1"/>
                <w:sz w:val="20"/>
                <w:szCs w:val="20"/>
              </w:rPr>
            </w:pPr>
            <w:r>
              <w:rPr>
                <w:rFonts w:cs="Calibri Light" w:cstheme="majorHAnsi"/>
                <w:sz w:val="20"/>
                <w:szCs w:val="20"/>
              </w:rPr>
              <w:t>Pacific and International science community</w:t>
            </w:r>
          </w:p>
        </w:tc>
      </w:tr>
    </w:tbl>
    <w:p>
      <w:pPr>
        <w:pStyle w:val="Normal"/>
        <w:rPr/>
      </w:pPr>
      <w:r>
        <w:rPr/>
      </w:r>
    </w:p>
    <w:sectPr>
      <w:headerReference w:type="first" r:id="rId2"/>
      <w:type w:val="nextPage"/>
      <w:pgSz w:w="11906" w:h="16838"/>
      <w:pgMar w:left="720" w:right="720" w:header="708" w:top="708" w:footer="0" w:bottom="72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Calibri">
    <w:charset w:val="01"/>
    <w:family w:val="roman"/>
    <w:pitch w:val="variable"/>
  </w:font>
  <w:font w:name="Segoe UI">
    <w:charset w:val="01"/>
    <w:family w:val="roman"/>
    <w:pitch w:val="variable"/>
  </w:font>
  <w:font w:name="Arial Narro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Light">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0" distR="0" simplePos="0" locked="0" layoutInCell="1" allowOverlap="1" relativeHeight="2" wp14:anchorId="504A8C30">
              <wp:simplePos x="0" y="0"/>
              <wp:positionH relativeFrom="column">
                <wp:posOffset>4851400</wp:posOffset>
              </wp:positionH>
              <wp:positionV relativeFrom="paragraph">
                <wp:posOffset>-349250</wp:posOffset>
              </wp:positionV>
              <wp:extent cx="1797685" cy="767715"/>
              <wp:effectExtent l="0" t="0" r="0" b="0"/>
              <wp:wrapNone/>
              <wp:docPr id="1" name="Picture 2"/>
              <a:graphic xmlns:a="http://schemas.openxmlformats.org/drawingml/2006/main">
                <a:graphicData uri="http://schemas.openxmlformats.org/drawingml/2006/picture">
                  <pic:pic xmlns:pic="http://schemas.openxmlformats.org/drawingml/2006/picture">
                    <pic:nvPicPr>
                      <pic:cNvPr id="0" name="Picture 2" descr=""/>
                      <pic:cNvPicPr/>
                    </pic:nvPicPr>
                    <pic:blipFill>
                      <a:blip r:embed="rId1">
                        <a:extLst>
                          <a:ext uri="{BEBA8EAE-BF5A-486C-A8C5-ECC9F3942E4B}">
                            <a14:imgProps xmlns:a14="http://schemas.microsoft.com/office/drawing/2010/main">
                              <a14:imgLayer r:embed="rId2">
                                <a14:imgEffect>
                                  <a14:brightnessContrast amount="50000" contrast="40000"/>
                                </a14:imgEffect>
                              </a14:imgLayer>
                            </a14:imgProps>
                          </a:ext>
                        </a:extLst>
                      </a:blip>
                      <a:srcRect l="7010" t="18757" r="14575" b="22686"/>
                      <a:stretch/>
                    </pic:blipFill>
                    <pic:spPr>
                      <a:xfrm>
                        <a:off x="0" y="0"/>
                        <a:ext cx="1797120" cy="76716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 stroked="f" style="position:absolute;margin-left:382pt;margin-top:-27.5pt;width:141.45pt;height:60.35pt" wp14:anchorId="504A8C30" type="shapetype_75">
              <v:imagedata r:id="rId1" o:detectmouseclick="t"/>
              <w10:wrap type="none"/>
              <v:stroke color="#3465a4" joinstyle="round" endcap="flat"/>
            </v:shap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51" w:hanging="360"/>
      </w:pPr>
      <w:rPr>
        <w:rFonts w:ascii="Symbol" w:hAnsi="Symbol" w:cs="Symbol" w:hint="default"/>
      </w:rPr>
    </w:lvl>
    <w:lvl w:ilvl="1">
      <w:start w:val="1"/>
      <w:numFmt w:val="bullet"/>
      <w:lvlText w:val="o"/>
      <w:lvlJc w:val="left"/>
      <w:pPr>
        <w:tabs>
          <w:tab w:val="num" w:pos="0"/>
        </w:tabs>
        <w:ind w:left="1471" w:hanging="360"/>
      </w:pPr>
      <w:rPr>
        <w:rFonts w:ascii="Courier New" w:hAnsi="Courier New" w:cs="Courier New" w:hint="default"/>
      </w:rPr>
    </w:lvl>
    <w:lvl w:ilvl="2">
      <w:start w:val="1"/>
      <w:numFmt w:val="bullet"/>
      <w:lvlText w:val=""/>
      <w:lvlJc w:val="left"/>
      <w:pPr>
        <w:tabs>
          <w:tab w:val="num" w:pos="0"/>
        </w:tabs>
        <w:ind w:left="2191" w:hanging="360"/>
      </w:pPr>
      <w:rPr>
        <w:rFonts w:ascii="Wingdings" w:hAnsi="Wingdings" w:cs="Wingdings" w:hint="default"/>
      </w:rPr>
    </w:lvl>
    <w:lvl w:ilvl="3">
      <w:start w:val="1"/>
      <w:numFmt w:val="bullet"/>
      <w:lvlText w:val=""/>
      <w:lvlJc w:val="left"/>
      <w:pPr>
        <w:tabs>
          <w:tab w:val="num" w:pos="0"/>
        </w:tabs>
        <w:ind w:left="2911" w:hanging="360"/>
      </w:pPr>
      <w:rPr>
        <w:rFonts w:ascii="Symbol" w:hAnsi="Symbol" w:cs="Symbol" w:hint="default"/>
      </w:rPr>
    </w:lvl>
    <w:lvl w:ilvl="4">
      <w:start w:val="1"/>
      <w:numFmt w:val="bullet"/>
      <w:lvlText w:val="o"/>
      <w:lvlJc w:val="left"/>
      <w:pPr>
        <w:tabs>
          <w:tab w:val="num" w:pos="0"/>
        </w:tabs>
        <w:ind w:left="3631" w:hanging="360"/>
      </w:pPr>
      <w:rPr>
        <w:rFonts w:ascii="Courier New" w:hAnsi="Courier New" w:cs="Courier New" w:hint="default"/>
      </w:rPr>
    </w:lvl>
    <w:lvl w:ilvl="5">
      <w:start w:val="1"/>
      <w:numFmt w:val="bullet"/>
      <w:lvlText w:val=""/>
      <w:lvlJc w:val="left"/>
      <w:pPr>
        <w:tabs>
          <w:tab w:val="num" w:pos="0"/>
        </w:tabs>
        <w:ind w:left="4351" w:hanging="360"/>
      </w:pPr>
      <w:rPr>
        <w:rFonts w:ascii="Wingdings" w:hAnsi="Wingdings" w:cs="Wingdings" w:hint="default"/>
      </w:rPr>
    </w:lvl>
    <w:lvl w:ilvl="6">
      <w:start w:val="1"/>
      <w:numFmt w:val="bullet"/>
      <w:lvlText w:val=""/>
      <w:lvlJc w:val="left"/>
      <w:pPr>
        <w:tabs>
          <w:tab w:val="num" w:pos="0"/>
        </w:tabs>
        <w:ind w:left="5071" w:hanging="360"/>
      </w:pPr>
      <w:rPr>
        <w:rFonts w:ascii="Symbol" w:hAnsi="Symbol" w:cs="Symbol" w:hint="default"/>
      </w:rPr>
    </w:lvl>
    <w:lvl w:ilvl="7">
      <w:start w:val="1"/>
      <w:numFmt w:val="bullet"/>
      <w:lvlText w:val="o"/>
      <w:lvlJc w:val="left"/>
      <w:pPr>
        <w:tabs>
          <w:tab w:val="num" w:pos="0"/>
        </w:tabs>
        <w:ind w:left="5791" w:hanging="360"/>
      </w:pPr>
      <w:rPr>
        <w:rFonts w:ascii="Courier New" w:hAnsi="Courier New" w:cs="Courier New" w:hint="default"/>
      </w:rPr>
    </w:lvl>
    <w:lvl w:ilvl="8">
      <w:start w:val="1"/>
      <w:numFmt w:val="bullet"/>
      <w:lvlText w:val=""/>
      <w:lvlJc w:val="left"/>
      <w:pPr>
        <w:tabs>
          <w:tab w:val="num" w:pos="0"/>
        </w:tabs>
        <w:ind w:left="6511"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440" w:hanging="360"/>
      </w:pPr>
      <w:rPr>
        <w:rFonts w:ascii="Calibri Light" w:hAnsi="Calibri Light" w:cs="Calibri Light"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817" w:hanging="360"/>
      </w:pPr>
      <w:rPr>
        <w:rFonts w:ascii="Symbol" w:hAnsi="Symbol" w:cs="Symbol" w:hint="default"/>
      </w:rPr>
    </w:lvl>
    <w:lvl w:ilvl="1">
      <w:start w:val="1"/>
      <w:numFmt w:val="bullet"/>
      <w:lvlText w:val="o"/>
      <w:lvlJc w:val="left"/>
      <w:pPr>
        <w:tabs>
          <w:tab w:val="num" w:pos="0"/>
        </w:tabs>
        <w:ind w:left="1537" w:hanging="360"/>
      </w:pPr>
      <w:rPr>
        <w:rFonts w:ascii="Courier New" w:hAnsi="Courier New" w:cs="Courier New" w:hint="default"/>
      </w:rPr>
    </w:lvl>
    <w:lvl w:ilvl="2">
      <w:start w:val="1"/>
      <w:numFmt w:val="bullet"/>
      <w:lvlText w:val=""/>
      <w:lvlJc w:val="left"/>
      <w:pPr>
        <w:tabs>
          <w:tab w:val="num" w:pos="0"/>
        </w:tabs>
        <w:ind w:left="2257" w:hanging="360"/>
      </w:pPr>
      <w:rPr>
        <w:rFonts w:ascii="Wingdings" w:hAnsi="Wingdings" w:cs="Wingdings" w:hint="default"/>
      </w:rPr>
    </w:lvl>
    <w:lvl w:ilvl="3">
      <w:start w:val="1"/>
      <w:numFmt w:val="bullet"/>
      <w:lvlText w:val=""/>
      <w:lvlJc w:val="left"/>
      <w:pPr>
        <w:tabs>
          <w:tab w:val="num" w:pos="0"/>
        </w:tabs>
        <w:ind w:left="2977" w:hanging="360"/>
      </w:pPr>
      <w:rPr>
        <w:rFonts w:ascii="Symbol" w:hAnsi="Symbol" w:cs="Symbol" w:hint="default"/>
      </w:rPr>
    </w:lvl>
    <w:lvl w:ilvl="4">
      <w:start w:val="1"/>
      <w:numFmt w:val="bullet"/>
      <w:lvlText w:val="o"/>
      <w:lvlJc w:val="left"/>
      <w:pPr>
        <w:tabs>
          <w:tab w:val="num" w:pos="0"/>
        </w:tabs>
        <w:ind w:left="3697" w:hanging="360"/>
      </w:pPr>
      <w:rPr>
        <w:rFonts w:ascii="Courier New" w:hAnsi="Courier New" w:cs="Courier New" w:hint="default"/>
      </w:rPr>
    </w:lvl>
    <w:lvl w:ilvl="5">
      <w:start w:val="1"/>
      <w:numFmt w:val="bullet"/>
      <w:lvlText w:val=""/>
      <w:lvlJc w:val="left"/>
      <w:pPr>
        <w:tabs>
          <w:tab w:val="num" w:pos="0"/>
        </w:tabs>
        <w:ind w:left="4417" w:hanging="360"/>
      </w:pPr>
      <w:rPr>
        <w:rFonts w:ascii="Wingdings" w:hAnsi="Wingdings" w:cs="Wingdings" w:hint="default"/>
      </w:rPr>
    </w:lvl>
    <w:lvl w:ilvl="6">
      <w:start w:val="1"/>
      <w:numFmt w:val="bullet"/>
      <w:lvlText w:val=""/>
      <w:lvlJc w:val="left"/>
      <w:pPr>
        <w:tabs>
          <w:tab w:val="num" w:pos="0"/>
        </w:tabs>
        <w:ind w:left="5137" w:hanging="360"/>
      </w:pPr>
      <w:rPr>
        <w:rFonts w:ascii="Symbol" w:hAnsi="Symbol" w:cs="Symbol" w:hint="default"/>
      </w:rPr>
    </w:lvl>
    <w:lvl w:ilvl="7">
      <w:start w:val="1"/>
      <w:numFmt w:val="bullet"/>
      <w:lvlText w:val="o"/>
      <w:lvlJc w:val="left"/>
      <w:pPr>
        <w:tabs>
          <w:tab w:val="num" w:pos="0"/>
        </w:tabs>
        <w:ind w:left="5857" w:hanging="360"/>
      </w:pPr>
      <w:rPr>
        <w:rFonts w:ascii="Courier New" w:hAnsi="Courier New" w:cs="Courier New" w:hint="default"/>
      </w:rPr>
    </w:lvl>
    <w:lvl w:ilvl="8">
      <w:start w:val="1"/>
      <w:numFmt w:val="bullet"/>
      <w:lvlText w:val=""/>
      <w:lvlJc w:val="left"/>
      <w:pPr>
        <w:tabs>
          <w:tab w:val="num" w:pos="0"/>
        </w:tabs>
        <w:ind w:left="6577"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51" w:hanging="360"/>
      </w:pPr>
      <w:rPr>
        <w:rFonts w:ascii="Symbol" w:hAnsi="Symbol" w:cs="Symbol" w:hint="default"/>
      </w:rPr>
    </w:lvl>
    <w:lvl w:ilvl="1">
      <w:start w:val="1"/>
      <w:numFmt w:val="bullet"/>
      <w:lvlText w:val="o"/>
      <w:lvlJc w:val="left"/>
      <w:pPr>
        <w:tabs>
          <w:tab w:val="num" w:pos="0"/>
        </w:tabs>
        <w:ind w:left="1471" w:hanging="360"/>
      </w:pPr>
      <w:rPr>
        <w:rFonts w:ascii="Courier New" w:hAnsi="Courier New" w:cs="Courier New" w:hint="default"/>
      </w:rPr>
    </w:lvl>
    <w:lvl w:ilvl="2">
      <w:start w:val="1"/>
      <w:numFmt w:val="bullet"/>
      <w:lvlText w:val=""/>
      <w:lvlJc w:val="left"/>
      <w:pPr>
        <w:tabs>
          <w:tab w:val="num" w:pos="0"/>
        </w:tabs>
        <w:ind w:left="2191" w:hanging="360"/>
      </w:pPr>
      <w:rPr>
        <w:rFonts w:ascii="Wingdings" w:hAnsi="Wingdings" w:cs="Wingdings" w:hint="default"/>
      </w:rPr>
    </w:lvl>
    <w:lvl w:ilvl="3">
      <w:start w:val="1"/>
      <w:numFmt w:val="bullet"/>
      <w:lvlText w:val=""/>
      <w:lvlJc w:val="left"/>
      <w:pPr>
        <w:tabs>
          <w:tab w:val="num" w:pos="0"/>
        </w:tabs>
        <w:ind w:left="2911" w:hanging="360"/>
      </w:pPr>
      <w:rPr>
        <w:rFonts w:ascii="Symbol" w:hAnsi="Symbol" w:cs="Symbol" w:hint="default"/>
      </w:rPr>
    </w:lvl>
    <w:lvl w:ilvl="4">
      <w:start w:val="1"/>
      <w:numFmt w:val="bullet"/>
      <w:lvlText w:val="o"/>
      <w:lvlJc w:val="left"/>
      <w:pPr>
        <w:tabs>
          <w:tab w:val="num" w:pos="0"/>
        </w:tabs>
        <w:ind w:left="3631" w:hanging="360"/>
      </w:pPr>
      <w:rPr>
        <w:rFonts w:ascii="Courier New" w:hAnsi="Courier New" w:cs="Courier New" w:hint="default"/>
      </w:rPr>
    </w:lvl>
    <w:lvl w:ilvl="5">
      <w:start w:val="1"/>
      <w:numFmt w:val="bullet"/>
      <w:lvlText w:val=""/>
      <w:lvlJc w:val="left"/>
      <w:pPr>
        <w:tabs>
          <w:tab w:val="num" w:pos="0"/>
        </w:tabs>
        <w:ind w:left="4351" w:hanging="360"/>
      </w:pPr>
      <w:rPr>
        <w:rFonts w:ascii="Wingdings" w:hAnsi="Wingdings" w:cs="Wingdings" w:hint="default"/>
      </w:rPr>
    </w:lvl>
    <w:lvl w:ilvl="6">
      <w:start w:val="1"/>
      <w:numFmt w:val="bullet"/>
      <w:lvlText w:val=""/>
      <w:lvlJc w:val="left"/>
      <w:pPr>
        <w:tabs>
          <w:tab w:val="num" w:pos="0"/>
        </w:tabs>
        <w:ind w:left="5071" w:hanging="360"/>
      </w:pPr>
      <w:rPr>
        <w:rFonts w:ascii="Symbol" w:hAnsi="Symbol" w:cs="Symbol" w:hint="default"/>
      </w:rPr>
    </w:lvl>
    <w:lvl w:ilvl="7">
      <w:start w:val="1"/>
      <w:numFmt w:val="bullet"/>
      <w:lvlText w:val="o"/>
      <w:lvlJc w:val="left"/>
      <w:pPr>
        <w:tabs>
          <w:tab w:val="num" w:pos="0"/>
        </w:tabs>
        <w:ind w:left="5791" w:hanging="360"/>
      </w:pPr>
      <w:rPr>
        <w:rFonts w:ascii="Courier New" w:hAnsi="Courier New" w:cs="Courier New" w:hint="default"/>
      </w:rPr>
    </w:lvl>
    <w:lvl w:ilvl="8">
      <w:start w:val="1"/>
      <w:numFmt w:val="bullet"/>
      <w:lvlText w:val=""/>
      <w:lvlJc w:val="left"/>
      <w:pPr>
        <w:tabs>
          <w:tab w:val="num" w:pos="0"/>
        </w:tabs>
        <w:ind w:left="6511"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NZ" w:eastAsia="en-NZ"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8568b"/>
    <w:pPr>
      <w:widowControl/>
      <w:bidi w:val="0"/>
      <w:spacing w:before="0" w:after="0"/>
      <w:jc w:val="left"/>
    </w:pPr>
    <w:rPr>
      <w:rFonts w:ascii="Calibri Light" w:hAnsi="Calibri Light" w:eastAsia="" w:eastAsiaTheme="minorEastAsia" w:cs="Times New Roman"/>
      <w:color w:val="auto"/>
      <w:kern w:val="0"/>
      <w:sz w:val="24"/>
      <w:szCs w:val="24"/>
      <w:lang w:val="en-NZ" w:eastAsia="en-NZ" w:bidi="ar-SA"/>
    </w:rPr>
  </w:style>
  <w:style w:type="paragraph" w:styleId="Heading1">
    <w:name w:val="Heading 1"/>
    <w:basedOn w:val="Normal"/>
    <w:next w:val="Normal"/>
    <w:link w:val="Heading1Char"/>
    <w:uiPriority w:val="9"/>
    <w:qFormat/>
    <w:rsid w:val="00074d80"/>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f865a5"/>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link w:val="Heading3Char"/>
    <w:uiPriority w:val="9"/>
    <w:qFormat/>
    <w:pPr>
      <w:spacing w:beforeAutospacing="1" w:afterAutospacing="1"/>
      <w:outlineLvl w:val="2"/>
    </w:pPr>
    <w:rPr>
      <w:b/>
      <w:bCs/>
      <w:sz w:val="27"/>
      <w:szCs w:val="27"/>
    </w:rPr>
  </w:style>
  <w:style w:type="paragraph" w:styleId="Heading4">
    <w:name w:val="Heading 4"/>
    <w:basedOn w:val="Normal"/>
    <w:next w:val="Normal"/>
    <w:link w:val="Heading4Char"/>
    <w:uiPriority w:val="9"/>
    <w:semiHidden/>
    <w:unhideWhenUsed/>
    <w:qFormat/>
    <w:rsid w:val="004d7596"/>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semiHidden/>
    <w:qFormat/>
    <w:rPr>
      <w:rFonts w:ascii="Calibri Light" w:hAnsi="Calibri Light" w:eastAsia="" w:cs="" w:asciiTheme="majorHAnsi" w:cstheme="majorBidi" w:eastAsiaTheme="majorEastAsia" w:hAnsiTheme="majorHAnsi"/>
      <w:color w:val="1F4D78" w:themeColor="accent1" w:themeShade="7f"/>
      <w:sz w:val="24"/>
      <w:szCs w:val="24"/>
    </w:rPr>
  </w:style>
  <w:style w:type="character" w:styleId="InternetLink">
    <w:name w:val="Hyperlink"/>
    <w:basedOn w:val="DefaultParagraphFont"/>
    <w:uiPriority w:val="99"/>
    <w:unhideWhenUsed/>
    <w:rPr>
      <w:color w:val="0000FF"/>
      <w:u w:val="single"/>
    </w:rPr>
  </w:style>
  <w:style w:type="character" w:styleId="VisitedInternetLink">
    <w:name w:val="FollowedHyperlink"/>
    <w:basedOn w:val="DefaultParagraphFont"/>
    <w:uiPriority w:val="99"/>
    <w:semiHidden/>
    <w:unhideWhenUsed/>
    <w:rPr>
      <w:color w:val="800080"/>
      <w:u w:val="single"/>
    </w:rPr>
  </w:style>
  <w:style w:type="character" w:styleId="Tinylink" w:customStyle="1">
    <w:name w:val="tinylink"/>
    <w:basedOn w:val="DefaultParagraphFont"/>
    <w:qFormat/>
    <w:rPr/>
  </w:style>
  <w:style w:type="character" w:styleId="Userhover" w:customStyle="1">
    <w:name w:val="user-hover"/>
    <w:basedOn w:val="DefaultParagraphFont"/>
    <w:qFormat/>
    <w:rPr/>
  </w:style>
  <w:style w:type="character" w:styleId="PlainTextChar" w:customStyle="1">
    <w:name w:val="Plain Text Char"/>
    <w:basedOn w:val="DefaultParagraphFont"/>
    <w:link w:val="PlainText"/>
    <w:uiPriority w:val="99"/>
    <w:qFormat/>
    <w:rsid w:val="004647ec"/>
    <w:rPr>
      <w:rFonts w:ascii="Calibri" w:hAnsi="Calibri" w:eastAsia="Calibri" w:cs="" w:cstheme="minorBidi" w:eastAsiaTheme="minorHAnsi"/>
      <w:sz w:val="22"/>
      <w:szCs w:val="21"/>
      <w:lang w:eastAsia="en-US"/>
    </w:rPr>
  </w:style>
  <w:style w:type="character" w:styleId="Heading1Char" w:customStyle="1">
    <w:name w:val="Heading 1 Char"/>
    <w:basedOn w:val="DefaultParagraphFont"/>
    <w:link w:val="Heading1"/>
    <w:uiPriority w:val="9"/>
    <w:qFormat/>
    <w:rsid w:val="00074d80"/>
    <w:rPr>
      <w:rFonts w:ascii="Calibri Light" w:hAnsi="Calibri Light" w:eastAsia="" w:cs="" w:asciiTheme="majorHAnsi" w:cstheme="majorBidi" w:eastAsiaTheme="majorEastAsia" w:hAnsiTheme="majorHAnsi"/>
      <w:color w:val="2E74B5" w:themeColor="accent1" w:themeShade="bf"/>
      <w:sz w:val="32"/>
      <w:szCs w:val="32"/>
    </w:rPr>
  </w:style>
  <w:style w:type="character" w:styleId="HeaderChar" w:customStyle="1">
    <w:name w:val="Header Char"/>
    <w:basedOn w:val="DefaultParagraphFont"/>
    <w:link w:val="Header"/>
    <w:uiPriority w:val="99"/>
    <w:qFormat/>
    <w:rsid w:val="00045af3"/>
    <w:rPr>
      <w:rFonts w:eastAsia="" w:eastAsiaTheme="minorEastAsia"/>
      <w:sz w:val="24"/>
      <w:szCs w:val="24"/>
    </w:rPr>
  </w:style>
  <w:style w:type="character" w:styleId="FooterChar" w:customStyle="1">
    <w:name w:val="Footer Char"/>
    <w:basedOn w:val="DefaultParagraphFont"/>
    <w:link w:val="Footer"/>
    <w:uiPriority w:val="99"/>
    <w:qFormat/>
    <w:rsid w:val="00045af3"/>
    <w:rPr>
      <w:rFonts w:eastAsia="" w:eastAsiaTheme="minorEastAsia"/>
      <w:sz w:val="24"/>
      <w:szCs w:val="24"/>
    </w:rPr>
  </w:style>
  <w:style w:type="character" w:styleId="Heading2Char" w:customStyle="1">
    <w:name w:val="Heading 2 Char"/>
    <w:basedOn w:val="DefaultParagraphFont"/>
    <w:link w:val="Heading2"/>
    <w:uiPriority w:val="9"/>
    <w:qFormat/>
    <w:rsid w:val="00f865a5"/>
    <w:rPr>
      <w:rFonts w:ascii="Calibri Light" w:hAnsi="Calibri Light" w:eastAsia="" w:cs="" w:asciiTheme="majorHAnsi" w:cstheme="majorBidi" w:eastAsiaTheme="majorEastAsia" w:hAnsiTheme="majorHAnsi"/>
      <w:color w:val="2E74B5" w:themeColor="accent1" w:themeShade="bf"/>
      <w:sz w:val="26"/>
      <w:szCs w:val="26"/>
    </w:rPr>
  </w:style>
  <w:style w:type="character" w:styleId="BalloonTextChar" w:customStyle="1">
    <w:name w:val="Balloon Text Char"/>
    <w:basedOn w:val="DefaultParagraphFont"/>
    <w:link w:val="BalloonText"/>
    <w:uiPriority w:val="99"/>
    <w:semiHidden/>
    <w:qFormat/>
    <w:rsid w:val="003f75c6"/>
    <w:rPr>
      <w:rFonts w:ascii="Segoe UI" w:hAnsi="Segoe UI" w:eastAsia="" w:cs="Segoe UI" w:eastAsiaTheme="minorEastAsia"/>
      <w:sz w:val="18"/>
      <w:szCs w:val="18"/>
    </w:rPr>
  </w:style>
  <w:style w:type="character" w:styleId="Emphasis">
    <w:name w:val="Emphasis"/>
    <w:basedOn w:val="DefaultParagraphFont"/>
    <w:uiPriority w:val="20"/>
    <w:qFormat/>
    <w:rsid w:val="00ba73c6"/>
    <w:rPr>
      <w:i/>
      <w:iCs/>
    </w:rPr>
  </w:style>
  <w:style w:type="character" w:styleId="TitleChar" w:customStyle="1">
    <w:name w:val="Title Char"/>
    <w:basedOn w:val="DefaultParagraphFont"/>
    <w:link w:val="Title"/>
    <w:qFormat/>
    <w:rsid w:val="00270803"/>
    <w:rPr>
      <w:rFonts w:ascii="Arial Narrow" w:hAnsi="Arial Narrow" w:eastAsia="Calibri" w:cs="Arial" w:eastAsiaTheme="minorHAnsi"/>
      <w:b/>
      <w:bCs/>
      <w:kern w:val="2"/>
      <w:sz w:val="36"/>
      <w:szCs w:val="32"/>
      <w:lang w:eastAsia="en-US"/>
    </w:rPr>
  </w:style>
  <w:style w:type="character" w:styleId="BodyTextChar" w:customStyle="1">
    <w:name w:val="Body Text Char"/>
    <w:basedOn w:val="DefaultParagraphFont"/>
    <w:link w:val="BodyText"/>
    <w:uiPriority w:val="99"/>
    <w:semiHidden/>
    <w:qFormat/>
    <w:rsid w:val="00270803"/>
    <w:rPr>
      <w:rFonts w:eastAsia="" w:eastAsiaTheme="minorEastAsia"/>
      <w:sz w:val="24"/>
      <w:szCs w:val="24"/>
    </w:rPr>
  </w:style>
  <w:style w:type="character" w:styleId="UnresolvedMention">
    <w:name w:val="Unresolved Mention"/>
    <w:basedOn w:val="DefaultParagraphFont"/>
    <w:uiPriority w:val="99"/>
    <w:semiHidden/>
    <w:unhideWhenUsed/>
    <w:qFormat/>
    <w:rsid w:val="00416839"/>
    <w:rPr>
      <w:color w:val="605E5C"/>
      <w:shd w:fill="E1DFDD" w:val="clear"/>
    </w:rPr>
  </w:style>
  <w:style w:type="character" w:styleId="Annotationreference">
    <w:name w:val="annotation reference"/>
    <w:basedOn w:val="DefaultParagraphFont"/>
    <w:uiPriority w:val="99"/>
    <w:semiHidden/>
    <w:unhideWhenUsed/>
    <w:qFormat/>
    <w:rsid w:val="00d062ad"/>
    <w:rPr>
      <w:sz w:val="16"/>
      <w:szCs w:val="16"/>
    </w:rPr>
  </w:style>
  <w:style w:type="character" w:styleId="CommentTextChar" w:customStyle="1">
    <w:name w:val="Comment Text Char"/>
    <w:basedOn w:val="DefaultParagraphFont"/>
    <w:link w:val="CommentText"/>
    <w:uiPriority w:val="99"/>
    <w:semiHidden/>
    <w:qFormat/>
    <w:rsid w:val="00d062ad"/>
    <w:rPr>
      <w:rFonts w:eastAsia="" w:eastAsiaTheme="minorEastAsia"/>
    </w:rPr>
  </w:style>
  <w:style w:type="character" w:styleId="CommentSubjectChar" w:customStyle="1">
    <w:name w:val="Comment Subject Char"/>
    <w:basedOn w:val="CommentTextChar"/>
    <w:link w:val="CommentSubject"/>
    <w:uiPriority w:val="99"/>
    <w:semiHidden/>
    <w:qFormat/>
    <w:rsid w:val="00d062ad"/>
    <w:rPr>
      <w:rFonts w:eastAsia="" w:eastAsiaTheme="minorEastAsia"/>
      <w:b/>
      <w:bCs/>
    </w:rPr>
  </w:style>
  <w:style w:type="character" w:styleId="ListParagraphChar" w:customStyle="1">
    <w:name w:val="List Paragraph Char"/>
    <w:basedOn w:val="DefaultParagraphFont"/>
    <w:link w:val="ListParagraph"/>
    <w:uiPriority w:val="34"/>
    <w:qFormat/>
    <w:locked/>
    <w:rsid w:val="00466aea"/>
    <w:rPr>
      <w:rFonts w:ascii="Calibri Light" w:hAnsi="Calibri Light" w:eastAsia="" w:eastAsiaTheme="minorEastAsia"/>
      <w:sz w:val="24"/>
      <w:szCs w:val="24"/>
    </w:rPr>
  </w:style>
  <w:style w:type="character" w:styleId="Heading4Char" w:customStyle="1">
    <w:name w:val="Heading 4 Char"/>
    <w:basedOn w:val="DefaultParagraphFont"/>
    <w:link w:val="Heading4"/>
    <w:uiPriority w:val="9"/>
    <w:semiHidden/>
    <w:qFormat/>
    <w:rsid w:val="004d7596"/>
    <w:rPr>
      <w:rFonts w:ascii="Calibri Light" w:hAnsi="Calibri Light" w:eastAsia="" w:cs="" w:asciiTheme="majorHAnsi" w:cstheme="majorBidi" w:eastAsiaTheme="majorEastAsia" w:hAnsiTheme="majorHAnsi"/>
      <w:i/>
      <w:iCs/>
      <w:color w:val="2E74B5" w:themeColor="accent1" w:themeShade="bf"/>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270803"/>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border" w:customStyle="1">
    <w:name w:val="tableborder"/>
    <w:basedOn w:val="Normal"/>
    <w:qFormat/>
    <w:pPr>
      <w:shd w:val="clear" w:color="auto" w:fill="FFFFFF"/>
      <w:spacing w:beforeAutospacing="1" w:afterAutospacing="1"/>
    </w:pPr>
    <w:rPr/>
  </w:style>
  <w:style w:type="paragraph" w:styleId="Grid" w:customStyle="1">
    <w:name w:val="grid"/>
    <w:basedOn w:val="Normal"/>
    <w:qFormat/>
    <w:pPr>
      <w:shd w:val="clear" w:color="auto" w:fill="FFFFFF"/>
      <w:spacing w:beforeAutospacing="1" w:afterAutospacing="1"/>
    </w:pPr>
    <w:rPr/>
  </w:style>
  <w:style w:type="paragraph" w:styleId="Tablabel" w:customStyle="1">
    <w:name w:val="tablabel"/>
    <w:basedOn w:val="Normal"/>
    <w:qFormat/>
    <w:pPr>
      <w:pBdr>
        <w:top w:val="single" w:sz="6" w:space="2" w:color="CCCCCC"/>
        <w:left w:val="single" w:sz="6" w:space="2" w:color="CCCCCC"/>
        <w:right w:val="single" w:sz="6" w:space="2" w:color="CCCCCC"/>
      </w:pBdr>
      <w:spacing w:beforeAutospacing="1" w:afterAutospacing="1"/>
    </w:pPr>
    <w:rPr>
      <w:b/>
      <w:bCs/>
    </w:rPr>
  </w:style>
  <w:style w:type="paragraph" w:styleId="Subtext" w:customStyle="1">
    <w:name w:val="subtext"/>
    <w:basedOn w:val="Normal"/>
    <w:qFormat/>
    <w:pPr>
      <w:spacing w:beforeAutospacing="1" w:afterAutospacing="1"/>
    </w:pPr>
    <w:rPr/>
  </w:style>
  <w:style w:type="paragraph" w:styleId="Nopadding" w:customStyle="1">
    <w:name w:val="nopadding"/>
    <w:basedOn w:val="Normal"/>
    <w:qFormat/>
    <w:pPr>
      <w:spacing w:beforeAutospacing="1" w:afterAutospacing="1"/>
    </w:pPr>
    <w:rPr/>
  </w:style>
  <w:style w:type="paragraph" w:styleId="Subtext1" w:customStyle="1">
    <w:name w:val="subtext1"/>
    <w:basedOn w:val="Normal"/>
    <w:qFormat/>
    <w:pPr>
      <w:spacing w:beforeAutospacing="1" w:afterAutospacing="1"/>
    </w:pPr>
    <w:rPr>
      <w:sz w:val="14"/>
      <w:szCs w:val="14"/>
    </w:rPr>
  </w:style>
  <w:style w:type="paragraph" w:styleId="NormalWeb">
    <w:name w:val="Normal (Web)"/>
    <w:basedOn w:val="Normal"/>
    <w:uiPriority w:val="99"/>
    <w:unhideWhenUsed/>
    <w:qFormat/>
    <w:pPr>
      <w:spacing w:beforeAutospacing="1" w:afterAutospacing="1"/>
    </w:pPr>
    <w:rPr/>
  </w:style>
  <w:style w:type="paragraph" w:styleId="PlainText">
    <w:name w:val="Plain Text"/>
    <w:basedOn w:val="Normal"/>
    <w:link w:val="PlainTextChar"/>
    <w:uiPriority w:val="99"/>
    <w:unhideWhenUsed/>
    <w:qFormat/>
    <w:rsid w:val="004647ec"/>
    <w:pPr/>
    <w:rPr>
      <w:rFonts w:ascii="Calibri" w:hAnsi="Calibri" w:eastAsia="Calibri" w:cs="" w:cstheme="minorBidi" w:eastAsiaTheme="minorHAnsi"/>
      <w:sz w:val="22"/>
      <w:szCs w:val="21"/>
      <w:lang w:eastAsia="en-US"/>
    </w:rPr>
  </w:style>
  <w:style w:type="paragraph" w:styleId="ListParagraph">
    <w:name w:val="List Paragraph"/>
    <w:basedOn w:val="Normal"/>
    <w:link w:val="ListParagraphChar"/>
    <w:uiPriority w:val="34"/>
    <w:qFormat/>
    <w:rsid w:val="003a4010"/>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045af3"/>
    <w:pPr>
      <w:tabs>
        <w:tab w:val="clear" w:pos="720"/>
        <w:tab w:val="center" w:pos="4513" w:leader="none"/>
        <w:tab w:val="right" w:pos="9026" w:leader="none"/>
      </w:tabs>
    </w:pPr>
    <w:rPr/>
  </w:style>
  <w:style w:type="paragraph" w:styleId="Footer">
    <w:name w:val="Footer"/>
    <w:basedOn w:val="Normal"/>
    <w:link w:val="FooterChar"/>
    <w:uiPriority w:val="99"/>
    <w:unhideWhenUsed/>
    <w:rsid w:val="00045af3"/>
    <w:pPr>
      <w:tabs>
        <w:tab w:val="clear" w:pos="720"/>
        <w:tab w:val="center" w:pos="4513" w:leader="none"/>
        <w:tab w:val="right" w:pos="9026" w:leader="none"/>
      </w:tabs>
    </w:pPr>
    <w:rPr/>
  </w:style>
  <w:style w:type="paragraph" w:styleId="BalloonText">
    <w:name w:val="Balloon Text"/>
    <w:basedOn w:val="Normal"/>
    <w:link w:val="BalloonTextChar"/>
    <w:uiPriority w:val="99"/>
    <w:semiHidden/>
    <w:unhideWhenUsed/>
    <w:qFormat/>
    <w:rsid w:val="003f75c6"/>
    <w:pPr/>
    <w:rPr>
      <w:rFonts w:ascii="Segoe UI" w:hAnsi="Segoe UI" w:cs="Segoe UI"/>
      <w:sz w:val="18"/>
      <w:szCs w:val="18"/>
    </w:rPr>
  </w:style>
  <w:style w:type="paragraph" w:styleId="ZInstructions" w:customStyle="1">
    <w:name w:val="z_Instructions"/>
    <w:basedOn w:val="TextBody"/>
    <w:qFormat/>
    <w:rsid w:val="00270803"/>
    <w:pPr>
      <w:spacing w:lineRule="atLeast" w:line="288" w:before="0" w:after="180"/>
    </w:pPr>
    <w:rPr>
      <w:rFonts w:ascii="Calibri" w:hAnsi="Calibri" w:eastAsia="Times New Roman"/>
      <w:i/>
      <w:color w:val="FF0000"/>
      <w:sz w:val="20"/>
      <w:lang w:eastAsia="en-GB"/>
    </w:rPr>
  </w:style>
  <w:style w:type="paragraph" w:styleId="Title">
    <w:name w:val="Title"/>
    <w:basedOn w:val="Normal"/>
    <w:link w:val="TitleChar"/>
    <w:qFormat/>
    <w:rsid w:val="00270803"/>
    <w:pPr>
      <w:spacing w:lineRule="auto" w:line="259" w:before="360" w:after="240"/>
      <w:jc w:val="both"/>
    </w:pPr>
    <w:rPr>
      <w:rFonts w:ascii="Arial Narrow" w:hAnsi="Arial Narrow" w:eastAsia="Calibri" w:cs="Arial" w:eastAsiaTheme="minorHAnsi"/>
      <w:b/>
      <w:bCs/>
      <w:kern w:val="2"/>
      <w:sz w:val="36"/>
      <w:szCs w:val="32"/>
      <w:lang w:eastAsia="en-US"/>
    </w:rPr>
  </w:style>
  <w:style w:type="paragraph" w:styleId="Annotationtext">
    <w:name w:val="annotation text"/>
    <w:basedOn w:val="Normal"/>
    <w:link w:val="CommentTextChar"/>
    <w:uiPriority w:val="99"/>
    <w:semiHidden/>
    <w:unhideWhenUsed/>
    <w:qFormat/>
    <w:rsid w:val="00d062ad"/>
    <w:pPr/>
    <w:rPr>
      <w:sz w:val="20"/>
      <w:szCs w:val="20"/>
    </w:rPr>
  </w:style>
  <w:style w:type="paragraph" w:styleId="Annotationsubject">
    <w:name w:val="annotation subject"/>
    <w:basedOn w:val="Annotationtext"/>
    <w:next w:val="Annotationtext"/>
    <w:link w:val="CommentSubjectChar"/>
    <w:uiPriority w:val="99"/>
    <w:semiHidden/>
    <w:unhideWhenUsed/>
    <w:qFormat/>
    <w:rsid w:val="00d062ad"/>
    <w:pPr/>
    <w:rPr>
      <w:b/>
      <w:bCs/>
    </w:rPr>
  </w:style>
  <w:style w:type="paragraph" w:styleId="Xmsonormal" w:customStyle="1">
    <w:name w:val="x_msonormal"/>
    <w:basedOn w:val="Normal"/>
    <w:qFormat/>
    <w:rsid w:val="002e62c3"/>
    <w:pPr/>
    <w:rPr>
      <w:rFonts w:ascii="Calibri" w:hAnsi="Calibri" w:eastAsia="Calibri" w:cs="Calibri" w:eastAsiaTheme="minorHAnsi"/>
      <w:sz w:val="22"/>
      <w:szCs w:val="2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microsoft.com/office/2007/relationships/hdphoto" Target="media/hdphoto1.wdp"/>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B1671C2FFA3F64E8828C02C20A0EB9B" ma:contentTypeVersion="12" ma:contentTypeDescription="Create a new document." ma:contentTypeScope="" ma:versionID="54aa8a8945ff3ce9bc657b33d9e4cd12">
  <xsd:schema xmlns:xsd="http://www.w3.org/2001/XMLSchema" xmlns:xs="http://www.w3.org/2001/XMLSchema" xmlns:p="http://schemas.microsoft.com/office/2006/metadata/properties" xmlns:ns2="5eaf59f2-ec2e-4d89-9ce9-a52c8e48fa5e" xmlns:ns3="74f3c3fa-7547-41f2-8760-787c61d6c6ba" targetNamespace="http://schemas.microsoft.com/office/2006/metadata/properties" ma:root="true" ma:fieldsID="fad3f1b981ea467ac796e900c8211aab" ns2:_="" ns3:_="">
    <xsd:import namespace="5eaf59f2-ec2e-4d89-9ce9-a52c8e48fa5e"/>
    <xsd:import namespace="74f3c3fa-7547-41f2-8760-787c61d6c6b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af59f2-ec2e-4d89-9ce9-a52c8e48fa5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4f3c3fa-7547-41f2-8760-787c61d6c6b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5eaf59f2-ec2e-4d89-9ce9-a52c8e48fa5e">
      <UserInfo>
        <DisplayName/>
        <AccountId xsi:nil="true"/>
        <AccountType/>
      </UserInfo>
    </SharedWithUsers>
  </documentManagement>
</p:properties>
</file>

<file path=customXml/itemProps1.xml><?xml version="1.0" encoding="utf-8"?>
<ds:datastoreItem xmlns:ds="http://schemas.openxmlformats.org/officeDocument/2006/customXml" ds:itemID="{1D9B7398-9E37-4571-94E6-BFDB41DA4B2A}">
  <ds:schemaRefs>
    <ds:schemaRef ds:uri="http://schemas.microsoft.com/sharepoint/v3/contenttype/forms"/>
  </ds:schemaRefs>
</ds:datastoreItem>
</file>

<file path=customXml/itemProps2.xml><?xml version="1.0" encoding="utf-8"?>
<ds:datastoreItem xmlns:ds="http://schemas.openxmlformats.org/officeDocument/2006/customXml" ds:itemID="{64A82FAD-5C6C-43DF-9BC5-4E1FA1C88B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af59f2-ec2e-4d89-9ce9-a52c8e48fa5e"/>
    <ds:schemaRef ds:uri="74f3c3fa-7547-41f2-8760-787c61d6c6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F5A844-B3DE-4A6A-9001-5C792CA3178D}">
  <ds:schemaRefs>
    <ds:schemaRef ds:uri="http://schemas.openxmlformats.org/officeDocument/2006/bibliography"/>
  </ds:schemaRefs>
</ds:datastoreItem>
</file>

<file path=customXml/itemProps4.xml><?xml version="1.0" encoding="utf-8"?>
<ds:datastoreItem xmlns:ds="http://schemas.openxmlformats.org/officeDocument/2006/customXml" ds:itemID="{9C5AA9C4-81B3-489D-95F3-E0F0B3424825}">
  <ds:schemaRefs>
    <ds:schemaRef ds:uri="http://schemas.microsoft.com/office/2006/metadata/properties"/>
    <ds:schemaRef ds:uri="http://schemas.microsoft.com/office/infopath/2007/PartnerControls"/>
    <ds:schemaRef ds:uri="5eaf59f2-ec2e-4d89-9ce9-a52c8e48fa5e"/>
  </ds:schemaRefs>
</ds:datastoreItem>
</file>

<file path=docProps/app.xml><?xml version="1.0" encoding="utf-8"?>
<Properties xmlns="http://schemas.openxmlformats.org/officeDocument/2006/extended-properties" xmlns:vt="http://schemas.openxmlformats.org/officeDocument/2006/docPropsVTypes">
  <Template>Normal</Template>
  <TotalTime>312</TotalTime>
  <Application>LibreOffice/6.4.7.2$Linux_X86_64 LibreOffice_project/40$Build-2</Application>
  <Pages>4</Pages>
  <Words>1925</Words>
  <Characters>11490</Characters>
  <CharactersWithSpaces>13290</CharactersWithSpaces>
  <Paragraphs>110</Paragraphs>
  <Company>NIWA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2022-06-02T22:49:00Z</dcterms:created>
  <dc:creator>Emilie Williams</dc:creator>
  <dc:description/>
  <dc:language>en-NZ</dc:language>
  <cp:lastModifiedBy/>
  <dcterms:modified xsi:type="dcterms:W3CDTF">2022-08-08T10:17:15Z</dcterms:modified>
  <cp:revision>24</cp:revision>
  <dc:subject/>
  <dc:title>[#SCIAWD-189] Determinants of establishment success of marine invaders 2013/14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NIWA</vt:lpwstr>
  </property>
  <property fmtid="{D5CDD505-2E9C-101B-9397-08002B2CF9AE}" pid="4" name="ComplianceAssetId">
    <vt:lpwstr/>
  </property>
  <property fmtid="{D5CDD505-2E9C-101B-9397-08002B2CF9AE}" pid="5" name="ContentTypeId">
    <vt:lpwstr>0x010100AB1671C2FFA3F64E8828C02C20A0EB9B</vt:lpwstr>
  </property>
  <property fmtid="{D5CDD505-2E9C-101B-9397-08002B2CF9AE}" pid="6" name="DocSecurity">
    <vt:i4>0</vt:i4>
  </property>
  <property fmtid="{D5CDD505-2E9C-101B-9397-08002B2CF9AE}" pid="7" name="HyperlinksChanged">
    <vt:bool>0</vt:bool>
  </property>
  <property fmtid="{D5CDD505-2E9C-101B-9397-08002B2CF9AE}" pid="8" name="ItemRetentionFormula">
    <vt:lpwstr>&lt;formula id="Microsoft.Office.RecordsManagement.PolicyFeatures.Expiration.Formula.BuiltIn"&gt;&lt;number&gt;30&lt;/number&gt;&lt;property&gt;Created&lt;/property&gt;&lt;propertyId&gt;8c06beca-0777-48f7-91c7-6da68bc07b69&lt;/propertyId&gt;&lt;period&gt;years&lt;/period&gt;&lt;/formula&gt;</vt:lpwstr>
  </property>
  <property fmtid="{D5CDD505-2E9C-101B-9397-08002B2CF9AE}" pid="9" name="LinksUpToDate">
    <vt:bool>0</vt:bool>
  </property>
  <property fmtid="{D5CDD505-2E9C-101B-9397-08002B2CF9AE}" pid="10" name="ScaleCrop">
    <vt:bool>0</vt:bool>
  </property>
  <property fmtid="{D5CDD505-2E9C-101B-9397-08002B2CF9AE}" pid="11" name="ShareDoc">
    <vt:bool>0</vt:bool>
  </property>
  <property fmtid="{D5CDD505-2E9C-101B-9397-08002B2CF9AE}" pid="12" name="TriggerFlowInfo">
    <vt:lpwstr/>
  </property>
  <property fmtid="{D5CDD505-2E9C-101B-9397-08002B2CF9AE}" pid="13" name="_ExtendedDescription">
    <vt:lpwstr/>
  </property>
  <property fmtid="{D5CDD505-2E9C-101B-9397-08002B2CF9AE}" pid="14" name="_dlc_policyId">
    <vt:lpwstr>/sites/Science/Fisheries/Fisheries Guidance  Templates</vt:lpwstr>
  </property>
</Properties>
</file>