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E3CC" w14:textId="167AEC1A" w:rsidR="00920D93" w:rsidRPr="002E0FE4" w:rsidRDefault="00920D93" w:rsidP="00E018C4">
      <w:pPr>
        <w:pStyle w:val="Heading1"/>
        <w:spacing w:before="0" w:after="120"/>
        <w:rPr>
          <w:rFonts w:cstheme="majorHAnsi"/>
          <w:color w:val="394C75"/>
          <w:sz w:val="28"/>
          <w:szCs w:val="28"/>
        </w:rPr>
      </w:pPr>
      <w:r w:rsidRPr="002E0FE4">
        <w:rPr>
          <w:rFonts w:cstheme="majorHAnsi"/>
          <w:noProof/>
          <w:color w:val="44546A" w:themeColor="text2"/>
          <w:sz w:val="28"/>
          <w:szCs w:val="28"/>
        </w:rPr>
        <w:t xml:space="preserve">Strategic Science Investment </w:t>
      </w:r>
      <w:r w:rsidRPr="002E0FE4">
        <w:rPr>
          <w:rFonts w:cstheme="majorHAnsi"/>
          <w:color w:val="394C75"/>
          <w:sz w:val="28"/>
          <w:szCs w:val="28"/>
        </w:rPr>
        <w:t xml:space="preserve">Fund </w:t>
      </w:r>
      <w:r w:rsidR="002E0FE4">
        <w:rPr>
          <w:rFonts w:cstheme="majorHAnsi"/>
          <w:color w:val="394C75"/>
          <w:sz w:val="28"/>
          <w:szCs w:val="28"/>
        </w:rPr>
        <w:t>Contract</w:t>
      </w:r>
    </w:p>
    <w:p w14:paraId="591DDE4D" w14:textId="7D671CA3" w:rsidR="00920D93" w:rsidRPr="002E0FE4" w:rsidRDefault="00920D93" w:rsidP="00920D93">
      <w:pPr>
        <w:pStyle w:val="Heading1"/>
        <w:spacing w:before="0"/>
        <w:rPr>
          <w:rFonts w:cstheme="majorHAnsi"/>
          <w:color w:val="394C75"/>
          <w:sz w:val="22"/>
          <w:szCs w:val="22"/>
        </w:rPr>
      </w:pPr>
      <w:r w:rsidRPr="002E0FE4">
        <w:rPr>
          <w:rFonts w:cstheme="majorHAnsi"/>
          <w:color w:val="394C75"/>
          <w:sz w:val="22"/>
          <w:szCs w:val="22"/>
        </w:rPr>
        <w:t>20</w:t>
      </w:r>
      <w:r w:rsidR="00412C41" w:rsidRPr="002E0FE4">
        <w:rPr>
          <w:rFonts w:cstheme="majorHAnsi"/>
          <w:color w:val="394C75"/>
          <w:sz w:val="22"/>
          <w:szCs w:val="22"/>
        </w:rPr>
        <w:t>22</w:t>
      </w:r>
      <w:r w:rsidRPr="002E0FE4">
        <w:rPr>
          <w:rFonts w:cstheme="majorHAnsi"/>
          <w:color w:val="394C75"/>
          <w:sz w:val="22"/>
          <w:szCs w:val="22"/>
        </w:rPr>
        <w:t>/</w:t>
      </w:r>
      <w:r w:rsidR="00705FB7" w:rsidRPr="002E0FE4">
        <w:rPr>
          <w:rFonts w:cstheme="majorHAnsi"/>
          <w:color w:val="394C75"/>
          <w:sz w:val="22"/>
          <w:szCs w:val="22"/>
        </w:rPr>
        <w:t>2</w:t>
      </w:r>
      <w:r w:rsidR="00412C41" w:rsidRPr="002E0FE4">
        <w:rPr>
          <w:rFonts w:cstheme="majorHAnsi"/>
          <w:color w:val="394C75"/>
          <w:sz w:val="22"/>
          <w:szCs w:val="22"/>
        </w:rPr>
        <w:t>3</w:t>
      </w:r>
      <w:r w:rsidRPr="002E0FE4">
        <w:rPr>
          <w:rFonts w:cstheme="majorHAnsi"/>
          <w:color w:val="394C75"/>
          <w:sz w:val="22"/>
          <w:szCs w:val="22"/>
        </w:rPr>
        <w:t xml:space="preserve"> Financial Year</w:t>
      </w:r>
    </w:p>
    <w:p w14:paraId="77C29C69" w14:textId="77777777" w:rsidR="002204AB" w:rsidRPr="002E0FE4" w:rsidRDefault="002204AB" w:rsidP="002204AB">
      <w:pPr>
        <w:rPr>
          <w:rFonts w:asciiTheme="majorHAnsi" w:hAnsiTheme="majorHAnsi" w:cstheme="majorHAnsi"/>
        </w:rPr>
      </w:pPr>
    </w:p>
    <w:tbl>
      <w:tblPr>
        <w:tblW w:w="5000" w:type="pct"/>
        <w:shd w:val="clear" w:color="auto" w:fill="FFFFFF"/>
        <w:tblCellMar>
          <w:left w:w="0" w:type="dxa"/>
          <w:right w:w="0" w:type="dxa"/>
        </w:tblCellMar>
        <w:tblLook w:val="04A0" w:firstRow="1" w:lastRow="0" w:firstColumn="1" w:lastColumn="0" w:noHBand="0" w:noVBand="1"/>
      </w:tblPr>
      <w:tblGrid>
        <w:gridCol w:w="2694"/>
        <w:gridCol w:w="7756"/>
      </w:tblGrid>
      <w:tr w:rsidR="00644F7E" w:rsidRPr="002E0FE4" w14:paraId="445550BC" w14:textId="77777777" w:rsidTr="009304CC">
        <w:tc>
          <w:tcPr>
            <w:tcW w:w="1289" w:type="pct"/>
            <w:tcBorders>
              <w:top w:val="single" w:sz="24" w:space="0" w:color="1F4E79" w:themeColor="accent1" w:themeShade="80"/>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hideMark/>
          </w:tcPr>
          <w:p w14:paraId="3617A207" w14:textId="5B53317E" w:rsidR="00644F7E" w:rsidRPr="002E0FE4" w:rsidRDefault="00644F7E" w:rsidP="00644F7E">
            <w:pPr>
              <w:rPr>
                <w:rFonts w:asciiTheme="majorHAnsi" w:eastAsia="Times New Roman" w:hAnsiTheme="majorHAnsi" w:cstheme="majorHAnsi"/>
                <w:color w:val="002060"/>
                <w:sz w:val="22"/>
                <w:szCs w:val="22"/>
              </w:rPr>
            </w:pPr>
            <w:r w:rsidRPr="002E0FE4">
              <w:rPr>
                <w:rFonts w:asciiTheme="majorHAnsi" w:eastAsia="Times New Roman" w:hAnsiTheme="majorHAnsi" w:cstheme="majorHAnsi"/>
                <w:bCs/>
                <w:color w:val="002060"/>
                <w:sz w:val="22"/>
                <w:szCs w:val="22"/>
              </w:rPr>
              <w:t>Project Name</w:t>
            </w:r>
          </w:p>
        </w:tc>
        <w:tc>
          <w:tcPr>
            <w:tcW w:w="3711" w:type="pct"/>
            <w:tcBorders>
              <w:top w:val="single" w:sz="24" w:space="0" w:color="1F4E79" w:themeColor="accent1" w:themeShade="80"/>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3AFA4E2" w14:textId="094D5931" w:rsidR="00644F7E" w:rsidRPr="002E0FE4" w:rsidRDefault="00E723B7" w:rsidP="00644F7E">
            <w:pPr>
              <w:rPr>
                <w:rFonts w:asciiTheme="majorHAnsi" w:eastAsia="Times New Roman" w:hAnsiTheme="majorHAnsi" w:cstheme="majorHAnsi"/>
                <w:sz w:val="22"/>
                <w:szCs w:val="22"/>
              </w:rPr>
            </w:pPr>
            <w:r w:rsidRPr="002E0FE4">
              <w:rPr>
                <w:rFonts w:asciiTheme="majorHAnsi" w:eastAsia="Times New Roman" w:hAnsiTheme="majorHAnsi" w:cstheme="majorHAnsi"/>
                <w:sz w:val="22"/>
                <w:szCs w:val="22"/>
              </w:rPr>
              <w:t>Crop Forecasting</w:t>
            </w:r>
          </w:p>
        </w:tc>
      </w:tr>
      <w:tr w:rsidR="00644F7E" w:rsidRPr="002E0FE4" w14:paraId="05E30C4A" w14:textId="77777777" w:rsidTr="009304CC">
        <w:tc>
          <w:tcPr>
            <w:tcW w:w="1289" w:type="pct"/>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tcPr>
          <w:p w14:paraId="180725F3" w14:textId="032C7362" w:rsidR="00644F7E" w:rsidRPr="002E0FE4" w:rsidRDefault="00644F7E" w:rsidP="00644F7E">
            <w:pPr>
              <w:rPr>
                <w:rFonts w:asciiTheme="majorHAnsi" w:eastAsia="Times New Roman" w:hAnsiTheme="majorHAnsi" w:cstheme="majorHAnsi"/>
                <w:bCs/>
                <w:color w:val="002060"/>
                <w:sz w:val="22"/>
                <w:szCs w:val="22"/>
              </w:rPr>
            </w:pPr>
            <w:r w:rsidRPr="002E0FE4">
              <w:rPr>
                <w:rFonts w:asciiTheme="majorHAnsi" w:eastAsia="Times New Roman" w:hAnsiTheme="majorHAnsi" w:cstheme="majorHAnsi"/>
                <w:bCs/>
                <w:color w:val="002060"/>
                <w:sz w:val="22"/>
                <w:szCs w:val="22"/>
              </w:rPr>
              <w:t>Project Manager</w:t>
            </w:r>
          </w:p>
        </w:tc>
        <w:tc>
          <w:tcPr>
            <w:tcW w:w="371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65479319" w14:textId="0FF563B0" w:rsidR="00644F7E" w:rsidRPr="002E0FE4" w:rsidRDefault="00E723B7" w:rsidP="00644F7E">
            <w:pPr>
              <w:rPr>
                <w:rFonts w:asciiTheme="majorHAnsi" w:eastAsia="Times New Roman" w:hAnsiTheme="majorHAnsi" w:cstheme="majorHAnsi"/>
                <w:sz w:val="22"/>
                <w:szCs w:val="22"/>
              </w:rPr>
            </w:pPr>
            <w:r w:rsidRPr="002E0FE4">
              <w:rPr>
                <w:rFonts w:asciiTheme="majorHAnsi" w:eastAsia="Times New Roman" w:hAnsiTheme="majorHAnsi" w:cstheme="majorHAnsi"/>
                <w:sz w:val="22"/>
                <w:szCs w:val="22"/>
              </w:rPr>
              <w:t>David Plew</w:t>
            </w:r>
          </w:p>
        </w:tc>
      </w:tr>
      <w:tr w:rsidR="00644F7E" w:rsidRPr="002E0FE4" w14:paraId="6B404CD0" w14:textId="77777777" w:rsidTr="009304CC">
        <w:tc>
          <w:tcPr>
            <w:tcW w:w="1289" w:type="pct"/>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tcPr>
          <w:p w14:paraId="725B1D11" w14:textId="3027D53E" w:rsidR="00644F7E" w:rsidRPr="002E0FE4" w:rsidRDefault="00644F7E" w:rsidP="00644F7E">
            <w:pPr>
              <w:rPr>
                <w:rFonts w:asciiTheme="majorHAnsi" w:eastAsia="Times New Roman" w:hAnsiTheme="majorHAnsi" w:cstheme="majorHAnsi"/>
                <w:bCs/>
                <w:color w:val="002060"/>
                <w:sz w:val="22"/>
                <w:szCs w:val="22"/>
              </w:rPr>
            </w:pPr>
            <w:r w:rsidRPr="002E0FE4">
              <w:rPr>
                <w:rFonts w:asciiTheme="majorHAnsi" w:eastAsia="Times New Roman" w:hAnsiTheme="majorHAnsi" w:cstheme="majorHAnsi"/>
                <w:bCs/>
                <w:color w:val="002060"/>
                <w:sz w:val="22"/>
                <w:szCs w:val="22"/>
              </w:rPr>
              <w:t>Programme</w:t>
            </w:r>
          </w:p>
        </w:tc>
        <w:tc>
          <w:tcPr>
            <w:tcW w:w="371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2C76F922" w14:textId="1169B98D" w:rsidR="00644F7E" w:rsidRPr="002E0FE4" w:rsidRDefault="00E723B7" w:rsidP="00644F7E">
            <w:pPr>
              <w:rPr>
                <w:rFonts w:asciiTheme="majorHAnsi" w:eastAsia="Times New Roman" w:hAnsiTheme="majorHAnsi" w:cstheme="majorHAnsi"/>
                <w:sz w:val="22"/>
                <w:szCs w:val="22"/>
              </w:rPr>
            </w:pPr>
            <w:r w:rsidRPr="002E0FE4">
              <w:rPr>
                <w:rFonts w:asciiTheme="majorHAnsi" w:eastAsia="Times New Roman" w:hAnsiTheme="majorHAnsi" w:cstheme="majorHAnsi"/>
                <w:sz w:val="22"/>
                <w:szCs w:val="22"/>
              </w:rPr>
              <w:t>Aquaculture/Environment Interactions</w:t>
            </w:r>
          </w:p>
        </w:tc>
      </w:tr>
      <w:tr w:rsidR="00644F7E" w:rsidRPr="002E0FE4" w14:paraId="72236466" w14:textId="77777777" w:rsidTr="009304CC">
        <w:tc>
          <w:tcPr>
            <w:tcW w:w="1289" w:type="pct"/>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hideMark/>
          </w:tcPr>
          <w:p w14:paraId="6F71F698" w14:textId="59EB3A48" w:rsidR="00644F7E" w:rsidRPr="002E0FE4" w:rsidRDefault="00644F7E" w:rsidP="00644F7E">
            <w:pPr>
              <w:rPr>
                <w:rFonts w:asciiTheme="majorHAnsi" w:eastAsia="Times New Roman" w:hAnsiTheme="majorHAnsi" w:cstheme="majorHAnsi"/>
                <w:color w:val="002060"/>
                <w:sz w:val="22"/>
                <w:szCs w:val="22"/>
              </w:rPr>
            </w:pPr>
            <w:r w:rsidRPr="002E0FE4">
              <w:rPr>
                <w:rFonts w:asciiTheme="majorHAnsi" w:eastAsia="Times New Roman" w:hAnsiTheme="majorHAnsi" w:cstheme="majorHAnsi"/>
                <w:color w:val="002060"/>
                <w:sz w:val="22"/>
                <w:szCs w:val="22"/>
              </w:rPr>
              <w:t>Centre</w:t>
            </w:r>
          </w:p>
        </w:tc>
        <w:tc>
          <w:tcPr>
            <w:tcW w:w="371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020E1AB6" w14:textId="10612032" w:rsidR="00644F7E" w:rsidRPr="002E0FE4" w:rsidRDefault="00E723B7" w:rsidP="00644F7E">
            <w:pPr>
              <w:rPr>
                <w:rFonts w:asciiTheme="majorHAnsi" w:eastAsia="Times New Roman" w:hAnsiTheme="majorHAnsi" w:cstheme="majorHAnsi"/>
                <w:sz w:val="22"/>
                <w:szCs w:val="22"/>
              </w:rPr>
            </w:pPr>
            <w:r w:rsidRPr="002E0FE4">
              <w:rPr>
                <w:rFonts w:asciiTheme="majorHAnsi" w:eastAsia="Times New Roman" w:hAnsiTheme="majorHAnsi" w:cstheme="majorHAnsi"/>
                <w:sz w:val="22"/>
                <w:szCs w:val="22"/>
              </w:rPr>
              <w:t>Coasts &amp; Estuaries</w:t>
            </w:r>
          </w:p>
        </w:tc>
      </w:tr>
      <w:tr w:rsidR="009304CC" w:rsidRPr="002E0FE4" w14:paraId="706718E9" w14:textId="77777777" w:rsidTr="009304CC">
        <w:tc>
          <w:tcPr>
            <w:tcW w:w="1289" w:type="pct"/>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hideMark/>
          </w:tcPr>
          <w:p w14:paraId="3EEFF0B1" w14:textId="4A91E42C" w:rsidR="009304CC" w:rsidRPr="002E0FE4" w:rsidRDefault="009304CC" w:rsidP="007E10BE">
            <w:pPr>
              <w:rPr>
                <w:rFonts w:asciiTheme="majorHAnsi" w:eastAsia="Times New Roman" w:hAnsiTheme="majorHAnsi" w:cstheme="majorHAnsi"/>
                <w:color w:val="002060"/>
                <w:sz w:val="22"/>
                <w:szCs w:val="22"/>
              </w:rPr>
            </w:pPr>
            <w:r w:rsidRPr="002E0FE4">
              <w:rPr>
                <w:rFonts w:asciiTheme="majorHAnsi" w:eastAsia="Times New Roman" w:hAnsiTheme="majorHAnsi" w:cstheme="majorHAnsi"/>
                <w:bCs/>
                <w:color w:val="002060"/>
                <w:sz w:val="22"/>
                <w:szCs w:val="22"/>
              </w:rPr>
              <w:t>Budget</w:t>
            </w:r>
          </w:p>
        </w:tc>
        <w:tc>
          <w:tcPr>
            <w:tcW w:w="371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15F19829" w14:textId="3AC86C37" w:rsidR="009304CC" w:rsidRPr="002E0FE4" w:rsidRDefault="00A8582F" w:rsidP="007E10BE">
            <w:pPr>
              <w:rPr>
                <w:rFonts w:asciiTheme="majorHAnsi" w:eastAsia="Times New Roman" w:hAnsiTheme="majorHAnsi" w:cstheme="majorHAnsi"/>
                <w:sz w:val="22"/>
                <w:szCs w:val="22"/>
              </w:rPr>
            </w:pPr>
            <w:r w:rsidRPr="002E0FE4">
              <w:rPr>
                <w:rFonts w:asciiTheme="majorHAnsi" w:eastAsia="Times New Roman" w:hAnsiTheme="majorHAnsi" w:cstheme="majorHAnsi"/>
                <w:sz w:val="22"/>
                <w:szCs w:val="22"/>
              </w:rPr>
              <w:t>$185,000</w:t>
            </w:r>
          </w:p>
        </w:tc>
      </w:tr>
      <w:tr w:rsidR="00D11543" w:rsidRPr="002E0FE4" w14:paraId="01E0B45C" w14:textId="77777777" w:rsidTr="009304CC">
        <w:tc>
          <w:tcPr>
            <w:tcW w:w="1289" w:type="pct"/>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tcPr>
          <w:p w14:paraId="556987DD" w14:textId="24FD5FD2" w:rsidR="00D11543" w:rsidRPr="002E0FE4" w:rsidRDefault="00D11543" w:rsidP="007E10BE">
            <w:pPr>
              <w:rPr>
                <w:rFonts w:asciiTheme="majorHAnsi" w:eastAsia="Times New Roman" w:hAnsiTheme="majorHAnsi" w:cstheme="majorHAnsi"/>
                <w:bCs/>
                <w:color w:val="002060"/>
                <w:sz w:val="22"/>
                <w:szCs w:val="22"/>
              </w:rPr>
            </w:pPr>
            <w:r>
              <w:rPr>
                <w:rFonts w:asciiTheme="majorHAnsi" w:eastAsia="Times New Roman" w:hAnsiTheme="majorHAnsi" w:cstheme="majorHAnsi"/>
                <w:bCs/>
                <w:color w:val="002060"/>
                <w:sz w:val="22"/>
                <w:szCs w:val="22"/>
              </w:rPr>
              <w:t>Code</w:t>
            </w:r>
          </w:p>
        </w:tc>
        <w:tc>
          <w:tcPr>
            <w:tcW w:w="371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C8E15A2" w14:textId="6D791423" w:rsidR="00D11543" w:rsidRPr="002E0FE4" w:rsidRDefault="00D11543" w:rsidP="007E10BE">
            <w:pPr>
              <w:rPr>
                <w:rFonts w:asciiTheme="majorHAnsi" w:eastAsia="Times New Roman" w:hAnsiTheme="majorHAnsi" w:cstheme="majorHAnsi"/>
                <w:sz w:val="22"/>
                <w:szCs w:val="22"/>
              </w:rPr>
            </w:pPr>
            <w:r w:rsidRPr="00D11543">
              <w:rPr>
                <w:rFonts w:asciiTheme="majorHAnsi" w:eastAsia="Times New Roman" w:hAnsiTheme="majorHAnsi" w:cstheme="majorHAnsi"/>
                <w:sz w:val="22"/>
                <w:szCs w:val="22"/>
              </w:rPr>
              <w:t>CEEE2303</w:t>
            </w:r>
          </w:p>
        </w:tc>
      </w:tr>
      <w:tr w:rsidR="009304CC" w:rsidRPr="002E0FE4" w14:paraId="66B170A2" w14:textId="77777777" w:rsidTr="009304CC">
        <w:tc>
          <w:tcPr>
            <w:tcW w:w="1289" w:type="pct"/>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tcPr>
          <w:p w14:paraId="1022A498" w14:textId="1C0AACBB" w:rsidR="009304CC" w:rsidRPr="002E0FE4" w:rsidRDefault="009304CC" w:rsidP="007E10BE">
            <w:pPr>
              <w:rPr>
                <w:rFonts w:asciiTheme="majorHAnsi" w:eastAsia="Times New Roman" w:hAnsiTheme="majorHAnsi" w:cstheme="majorHAnsi"/>
                <w:bCs/>
                <w:color w:val="002060"/>
                <w:sz w:val="22"/>
                <w:szCs w:val="22"/>
              </w:rPr>
            </w:pPr>
            <w:r w:rsidRPr="002E0FE4">
              <w:rPr>
                <w:rFonts w:asciiTheme="majorHAnsi" w:eastAsia="Times New Roman" w:hAnsiTheme="majorHAnsi" w:cstheme="majorHAnsi"/>
                <w:bCs/>
                <w:color w:val="002060"/>
                <w:sz w:val="22"/>
                <w:szCs w:val="22"/>
              </w:rPr>
              <w:t>Expected co-funding</w:t>
            </w:r>
          </w:p>
        </w:tc>
        <w:tc>
          <w:tcPr>
            <w:tcW w:w="371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758E1466" w14:textId="70E847FB" w:rsidR="009304CC" w:rsidRPr="002E0FE4" w:rsidRDefault="00E90DB0" w:rsidP="007E10BE">
            <w:pPr>
              <w:rPr>
                <w:rFonts w:asciiTheme="majorHAnsi" w:eastAsia="Times New Roman" w:hAnsiTheme="majorHAnsi" w:cstheme="majorHAnsi"/>
                <w:sz w:val="20"/>
                <w:szCs w:val="20"/>
                <w:u w:val="single"/>
              </w:rPr>
            </w:pPr>
            <w:r w:rsidRPr="002E0FE4">
              <w:rPr>
                <w:rFonts w:asciiTheme="majorHAnsi" w:eastAsia="Times New Roman" w:hAnsiTheme="majorHAnsi" w:cstheme="majorHAnsi"/>
                <w:sz w:val="20"/>
                <w:szCs w:val="20"/>
              </w:rPr>
              <w:t xml:space="preserve">In-kind support from </w:t>
            </w:r>
            <w:proofErr w:type="spellStart"/>
            <w:r w:rsidRPr="002E0FE4">
              <w:rPr>
                <w:rFonts w:asciiTheme="majorHAnsi" w:eastAsia="Times New Roman" w:hAnsiTheme="majorHAnsi" w:cstheme="majorHAnsi"/>
                <w:sz w:val="20"/>
                <w:szCs w:val="20"/>
              </w:rPr>
              <w:t>Kono</w:t>
            </w:r>
            <w:proofErr w:type="spellEnd"/>
            <w:r w:rsidRPr="002E0FE4">
              <w:rPr>
                <w:rFonts w:asciiTheme="majorHAnsi" w:eastAsia="Times New Roman" w:hAnsiTheme="majorHAnsi" w:cstheme="majorHAnsi"/>
                <w:sz w:val="20"/>
                <w:szCs w:val="20"/>
              </w:rPr>
              <w:t xml:space="preserve"> </w:t>
            </w:r>
            <w:r w:rsidR="000A4086" w:rsidRPr="002E0FE4">
              <w:rPr>
                <w:rFonts w:asciiTheme="majorHAnsi" w:eastAsia="Times New Roman" w:hAnsiTheme="majorHAnsi" w:cstheme="majorHAnsi"/>
                <w:sz w:val="20"/>
                <w:szCs w:val="20"/>
              </w:rPr>
              <w:t>via installation of NIWA-supplied temperature sensors on marine farms. In-kind support from NZ King Salmon in the form of daily water temperature data from salmon farms. In-kind support from Marlborough District Council in the form of monthly CTD profiles from 22 locations in Queen Charlotte and Pelorus Sound.</w:t>
            </w:r>
          </w:p>
        </w:tc>
      </w:tr>
      <w:tr w:rsidR="009304CC" w:rsidRPr="002E0FE4" w14:paraId="07C14EE8" w14:textId="77777777" w:rsidTr="009304CC">
        <w:tc>
          <w:tcPr>
            <w:tcW w:w="1289" w:type="pct"/>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tcPr>
          <w:p w14:paraId="461287E6" w14:textId="100C8EEA" w:rsidR="009304CC" w:rsidRPr="002E0FE4" w:rsidRDefault="00C83676" w:rsidP="007E10BE">
            <w:pPr>
              <w:rPr>
                <w:rFonts w:asciiTheme="majorHAnsi" w:eastAsia="Times New Roman" w:hAnsiTheme="majorHAnsi" w:cstheme="majorHAnsi"/>
                <w:bCs/>
                <w:color w:val="002060"/>
                <w:sz w:val="22"/>
                <w:szCs w:val="22"/>
              </w:rPr>
            </w:pPr>
            <w:r w:rsidRPr="002E0FE4">
              <w:rPr>
                <w:rFonts w:asciiTheme="majorHAnsi" w:eastAsia="Times New Roman" w:hAnsiTheme="majorHAnsi" w:cstheme="majorHAnsi"/>
                <w:bCs/>
                <w:color w:val="002060"/>
                <w:sz w:val="22"/>
                <w:szCs w:val="22"/>
              </w:rPr>
              <w:t>External c</w:t>
            </w:r>
            <w:r w:rsidR="009304CC" w:rsidRPr="002E0FE4">
              <w:rPr>
                <w:rFonts w:asciiTheme="majorHAnsi" w:eastAsia="Times New Roman" w:hAnsiTheme="majorHAnsi" w:cstheme="majorHAnsi"/>
                <w:bCs/>
                <w:color w:val="002060"/>
                <w:sz w:val="22"/>
                <w:szCs w:val="22"/>
              </w:rPr>
              <w:t>ollaborators</w:t>
            </w:r>
          </w:p>
        </w:tc>
        <w:tc>
          <w:tcPr>
            <w:tcW w:w="371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6D238C11" w14:textId="6BAA9F83" w:rsidR="009304CC" w:rsidRPr="002E0FE4" w:rsidRDefault="00E723B7" w:rsidP="007E10BE">
            <w:pPr>
              <w:rPr>
                <w:rFonts w:asciiTheme="majorHAnsi" w:eastAsia="Times New Roman" w:hAnsiTheme="majorHAnsi" w:cstheme="majorHAnsi"/>
                <w:sz w:val="22"/>
                <w:szCs w:val="22"/>
              </w:rPr>
            </w:pPr>
            <w:proofErr w:type="spellStart"/>
            <w:r w:rsidRPr="002E0FE4">
              <w:rPr>
                <w:rFonts w:asciiTheme="majorHAnsi" w:eastAsia="Times New Roman" w:hAnsiTheme="majorHAnsi" w:cstheme="majorHAnsi"/>
                <w:sz w:val="22"/>
                <w:szCs w:val="22"/>
              </w:rPr>
              <w:t>Kono</w:t>
            </w:r>
            <w:proofErr w:type="spellEnd"/>
            <w:r w:rsidRPr="002E0FE4">
              <w:rPr>
                <w:rFonts w:asciiTheme="majorHAnsi" w:eastAsia="Times New Roman" w:hAnsiTheme="majorHAnsi" w:cstheme="majorHAnsi"/>
                <w:sz w:val="22"/>
                <w:szCs w:val="22"/>
              </w:rPr>
              <w:t>, New Zealand King Salmon</w:t>
            </w:r>
          </w:p>
        </w:tc>
      </w:tr>
      <w:tr w:rsidR="009304CC" w:rsidRPr="002E0FE4" w14:paraId="0DB3964D" w14:textId="77777777" w:rsidTr="009304CC">
        <w:tc>
          <w:tcPr>
            <w:tcW w:w="1289" w:type="pct"/>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30" w:type="dxa"/>
              <w:bottom w:w="30" w:type="dxa"/>
              <w:right w:w="30" w:type="dxa"/>
            </w:tcMar>
          </w:tcPr>
          <w:p w14:paraId="165D3438" w14:textId="517C6AD2" w:rsidR="009304CC" w:rsidRPr="002E0FE4" w:rsidRDefault="009304CC" w:rsidP="007E10BE">
            <w:pPr>
              <w:rPr>
                <w:rFonts w:asciiTheme="majorHAnsi" w:eastAsia="Times New Roman" w:hAnsiTheme="majorHAnsi" w:cstheme="majorHAnsi"/>
                <w:bCs/>
                <w:color w:val="002060"/>
                <w:sz w:val="22"/>
                <w:szCs w:val="22"/>
              </w:rPr>
            </w:pPr>
            <w:r w:rsidRPr="002E0FE4">
              <w:rPr>
                <w:rFonts w:asciiTheme="majorHAnsi" w:eastAsia="Times New Roman" w:hAnsiTheme="majorHAnsi" w:cstheme="majorHAnsi"/>
                <w:bCs/>
                <w:color w:val="002060"/>
                <w:sz w:val="22"/>
                <w:szCs w:val="22"/>
              </w:rPr>
              <w:t>Critical kit/infrastructure</w:t>
            </w:r>
          </w:p>
        </w:tc>
        <w:tc>
          <w:tcPr>
            <w:tcW w:w="371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4B8D7AFA" w14:textId="39097E9E" w:rsidR="009304CC" w:rsidRPr="002E0FE4" w:rsidRDefault="00E90DB0" w:rsidP="007E10BE">
            <w:p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 xml:space="preserve">Access to the </w:t>
            </w:r>
            <w:r w:rsidR="00514A9C" w:rsidRPr="002E0FE4">
              <w:rPr>
                <w:rFonts w:asciiTheme="majorHAnsi" w:eastAsia="Times New Roman" w:hAnsiTheme="majorHAnsi" w:cstheme="majorHAnsi"/>
                <w:sz w:val="20"/>
                <w:szCs w:val="20"/>
              </w:rPr>
              <w:t>C</w:t>
            </w:r>
            <w:r w:rsidRPr="002E0FE4">
              <w:rPr>
                <w:rFonts w:asciiTheme="majorHAnsi" w:eastAsia="Times New Roman" w:hAnsiTheme="majorHAnsi" w:cstheme="majorHAnsi"/>
                <w:sz w:val="20"/>
                <w:szCs w:val="20"/>
              </w:rPr>
              <w:t>o</w:t>
            </w:r>
            <w:r w:rsidR="00514A9C" w:rsidRPr="002E0FE4">
              <w:rPr>
                <w:rFonts w:asciiTheme="majorHAnsi" w:eastAsia="Times New Roman" w:hAnsiTheme="majorHAnsi" w:cstheme="majorHAnsi"/>
                <w:sz w:val="20"/>
                <w:szCs w:val="20"/>
              </w:rPr>
              <w:t xml:space="preserve">pernicus </w:t>
            </w:r>
            <w:r w:rsidRPr="002E0FE4">
              <w:rPr>
                <w:rFonts w:asciiTheme="majorHAnsi" w:eastAsia="Times New Roman" w:hAnsiTheme="majorHAnsi" w:cstheme="majorHAnsi"/>
                <w:sz w:val="20"/>
                <w:szCs w:val="20"/>
              </w:rPr>
              <w:t>data hub for climate data forecasts.</w:t>
            </w:r>
          </w:p>
        </w:tc>
      </w:tr>
    </w:tbl>
    <w:p w14:paraId="7BD35E4A" w14:textId="58D4634E" w:rsidR="00B477C3" w:rsidRPr="002E0FE4" w:rsidRDefault="00B477C3" w:rsidP="00B477C3">
      <w:pPr>
        <w:pStyle w:val="PlainText"/>
        <w:spacing w:after="120"/>
        <w:jc w:val="both"/>
        <w:rPr>
          <w:rFonts w:asciiTheme="majorHAnsi" w:hAnsiTheme="majorHAnsi" w:cstheme="majorHAnsi"/>
          <w:i/>
          <w:sz w:val="20"/>
          <w:szCs w:val="20"/>
          <w:lang w:eastAsia="en-NZ"/>
        </w:rPr>
      </w:pPr>
    </w:p>
    <w:tbl>
      <w:tblPr>
        <w:tblW w:w="5000" w:type="pct"/>
        <w:tblBorders>
          <w:top w:val="single" w:sz="24" w:space="0" w:color="1F4E79" w:themeColor="accent1" w:themeShade="80"/>
          <w:left w:val="single" w:sz="6" w:space="0" w:color="CCCCCC"/>
          <w:bottom w:val="single" w:sz="24" w:space="0" w:color="1F4E79" w:themeColor="accent1" w:themeShade="80"/>
          <w:right w:val="single" w:sz="6" w:space="0" w:color="CCCCCC"/>
          <w:insideH w:val="single" w:sz="2" w:space="0" w:color="A6A6A6" w:themeColor="background1" w:themeShade="A6"/>
          <w:insideV w:val="single" w:sz="6" w:space="0" w:color="CCCCCC"/>
        </w:tblBorders>
        <w:shd w:val="clear" w:color="auto" w:fill="FFFFFF"/>
        <w:tblCellMar>
          <w:left w:w="0" w:type="dxa"/>
          <w:right w:w="0" w:type="dxa"/>
        </w:tblCellMar>
        <w:tblLook w:val="04A0" w:firstRow="1" w:lastRow="0" w:firstColumn="1" w:lastColumn="0" w:noHBand="0" w:noVBand="1"/>
      </w:tblPr>
      <w:tblGrid>
        <w:gridCol w:w="2686"/>
        <w:gridCol w:w="7764"/>
      </w:tblGrid>
      <w:tr w:rsidR="00571BD6" w:rsidRPr="002E0FE4" w14:paraId="68B93FBC" w14:textId="77777777" w:rsidTr="0038568B">
        <w:tc>
          <w:tcPr>
            <w:tcW w:w="5000" w:type="pct"/>
            <w:gridSpan w:val="2"/>
            <w:tcBorders>
              <w:bottom w:val="single" w:sz="2" w:space="0" w:color="A6A6A6" w:themeColor="background1" w:themeShade="A6"/>
            </w:tcBorders>
            <w:shd w:val="clear" w:color="auto" w:fill="auto"/>
            <w:tcMar>
              <w:top w:w="30" w:type="dxa"/>
              <w:left w:w="30" w:type="dxa"/>
              <w:bottom w:w="30" w:type="dxa"/>
              <w:right w:w="30" w:type="dxa"/>
            </w:tcMar>
          </w:tcPr>
          <w:p w14:paraId="784E239D" w14:textId="22323B88" w:rsidR="00571BD6" w:rsidRPr="002E0FE4" w:rsidRDefault="00B17A6A" w:rsidP="00E047E2">
            <w:pPr>
              <w:ind w:left="31"/>
              <w:rPr>
                <w:rFonts w:asciiTheme="majorHAnsi" w:eastAsia="Times New Roman" w:hAnsiTheme="majorHAnsi" w:cstheme="majorHAnsi"/>
                <w:bCs/>
                <w:color w:val="002060"/>
                <w:szCs w:val="22"/>
              </w:rPr>
            </w:pPr>
            <w:r w:rsidRPr="002E0FE4">
              <w:rPr>
                <w:rFonts w:asciiTheme="majorHAnsi" w:eastAsia="Times New Roman" w:hAnsiTheme="majorHAnsi" w:cstheme="majorHAnsi"/>
                <w:bCs/>
                <w:color w:val="002060"/>
                <w:szCs w:val="22"/>
              </w:rPr>
              <w:t>Delivery of NIWA Science Strategy</w:t>
            </w:r>
          </w:p>
        </w:tc>
      </w:tr>
      <w:tr w:rsidR="00290572" w:rsidRPr="002E0FE4" w14:paraId="39ADC0AA" w14:textId="77777777" w:rsidTr="00F16322">
        <w:tc>
          <w:tcPr>
            <w:tcW w:w="1285" w:type="pct"/>
            <w:shd w:val="clear" w:color="auto" w:fill="auto"/>
            <w:tcMar>
              <w:top w:w="30" w:type="dxa"/>
              <w:left w:w="30" w:type="dxa"/>
              <w:bottom w:w="30" w:type="dxa"/>
              <w:right w:w="30" w:type="dxa"/>
            </w:tcMar>
          </w:tcPr>
          <w:p w14:paraId="67329D7F" w14:textId="64CFBB60" w:rsidR="00290572" w:rsidRPr="002E0FE4" w:rsidRDefault="00AE6081" w:rsidP="000250EF">
            <w:pPr>
              <w:ind w:left="31"/>
              <w:rPr>
                <w:rFonts w:asciiTheme="majorHAnsi" w:hAnsiTheme="majorHAnsi" w:cstheme="majorHAnsi"/>
                <w:color w:val="808080" w:themeColor="background1" w:themeShade="80"/>
                <w:sz w:val="18"/>
                <w:szCs w:val="18"/>
              </w:rPr>
            </w:pPr>
            <w:r w:rsidRPr="002E0FE4">
              <w:rPr>
                <w:rFonts w:asciiTheme="majorHAnsi" w:eastAsia="Times New Roman" w:hAnsiTheme="majorHAnsi" w:cstheme="majorHAnsi"/>
                <w:bCs/>
                <w:color w:val="002060"/>
                <w:sz w:val="18"/>
                <w:szCs w:val="16"/>
              </w:rPr>
              <w:t>National Outcome</w:t>
            </w:r>
            <w:r w:rsidR="002D353E" w:rsidRPr="002E0FE4">
              <w:rPr>
                <w:rFonts w:asciiTheme="majorHAnsi" w:eastAsia="Times New Roman" w:hAnsiTheme="majorHAnsi" w:cstheme="majorHAnsi"/>
                <w:bCs/>
                <w:color w:val="002060"/>
                <w:sz w:val="18"/>
                <w:szCs w:val="16"/>
              </w:rPr>
              <w:t xml:space="preserve">, </w:t>
            </w:r>
            <w:proofErr w:type="spellStart"/>
            <w:r w:rsidR="002D353E" w:rsidRPr="002E0FE4">
              <w:rPr>
                <w:rFonts w:asciiTheme="majorHAnsi" w:eastAsia="Times New Roman" w:hAnsiTheme="majorHAnsi" w:cstheme="majorHAnsi"/>
                <w:bCs/>
                <w:color w:val="002060"/>
                <w:sz w:val="18"/>
                <w:szCs w:val="16"/>
              </w:rPr>
              <w:t>Suboutcome</w:t>
            </w:r>
            <w:proofErr w:type="spellEnd"/>
            <w:r w:rsidR="00290572" w:rsidRPr="002E0FE4">
              <w:rPr>
                <w:rFonts w:asciiTheme="majorHAnsi" w:hAnsiTheme="majorHAnsi" w:cstheme="majorHAnsi"/>
                <w:color w:val="808080" w:themeColor="background1" w:themeShade="80"/>
                <w:sz w:val="18"/>
                <w:szCs w:val="18"/>
              </w:rPr>
              <w:t xml:space="preserve"> </w:t>
            </w:r>
          </w:p>
        </w:tc>
        <w:tc>
          <w:tcPr>
            <w:tcW w:w="3715" w:type="pct"/>
            <w:shd w:val="clear" w:color="auto" w:fill="auto"/>
          </w:tcPr>
          <w:p w14:paraId="1BD0F0AC" w14:textId="74D79F7D" w:rsidR="00290572" w:rsidRPr="002E0FE4" w:rsidRDefault="00514A9C" w:rsidP="00290572">
            <w:pPr>
              <w:ind w:left="31"/>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Sustainable economy/advancing sustainability and diversify</w:t>
            </w:r>
            <w:r w:rsidR="00BE4B61" w:rsidRPr="002E0FE4">
              <w:rPr>
                <w:rFonts w:asciiTheme="majorHAnsi" w:eastAsia="Times New Roman" w:hAnsiTheme="majorHAnsi" w:cstheme="majorHAnsi"/>
                <w:sz w:val="20"/>
                <w:szCs w:val="20"/>
              </w:rPr>
              <w:t>ing</w:t>
            </w:r>
            <w:r w:rsidRPr="002E0FE4">
              <w:rPr>
                <w:rFonts w:asciiTheme="majorHAnsi" w:eastAsia="Times New Roman" w:hAnsiTheme="majorHAnsi" w:cstheme="majorHAnsi"/>
                <w:sz w:val="20"/>
                <w:szCs w:val="20"/>
              </w:rPr>
              <w:t xml:space="preserve"> aquaculture</w:t>
            </w:r>
          </w:p>
        </w:tc>
      </w:tr>
      <w:tr w:rsidR="00BE4B61" w:rsidRPr="002E0FE4" w14:paraId="399E42A9" w14:textId="77777777" w:rsidTr="00F16322">
        <w:tc>
          <w:tcPr>
            <w:tcW w:w="1285" w:type="pct"/>
            <w:shd w:val="clear" w:color="auto" w:fill="auto"/>
            <w:tcMar>
              <w:top w:w="30" w:type="dxa"/>
              <w:left w:w="30" w:type="dxa"/>
              <w:bottom w:w="30" w:type="dxa"/>
              <w:right w:w="30" w:type="dxa"/>
            </w:tcMar>
          </w:tcPr>
          <w:p w14:paraId="2A9C9A29" w14:textId="74C67866" w:rsidR="00BE4B61" w:rsidRPr="002E0FE4" w:rsidRDefault="00BE4B61" w:rsidP="00BE4B61">
            <w:pPr>
              <w:ind w:left="31"/>
              <w:rPr>
                <w:rFonts w:asciiTheme="majorHAnsi" w:eastAsia="Times New Roman" w:hAnsiTheme="majorHAnsi" w:cstheme="majorHAnsi"/>
                <w:bCs/>
                <w:color w:val="002060"/>
                <w:sz w:val="18"/>
                <w:szCs w:val="16"/>
              </w:rPr>
            </w:pPr>
            <w:r w:rsidRPr="002E0FE4">
              <w:rPr>
                <w:rFonts w:asciiTheme="majorHAnsi" w:eastAsia="Times New Roman" w:hAnsiTheme="majorHAnsi" w:cstheme="majorHAnsi"/>
                <w:bCs/>
                <w:color w:val="002060"/>
                <w:sz w:val="18"/>
                <w:szCs w:val="16"/>
              </w:rPr>
              <w:t>How Programme contributes to Outcome</w:t>
            </w:r>
          </w:p>
        </w:tc>
        <w:tc>
          <w:tcPr>
            <w:tcW w:w="3715" w:type="pct"/>
            <w:shd w:val="clear" w:color="auto" w:fill="auto"/>
          </w:tcPr>
          <w:p w14:paraId="54D2E4BE" w14:textId="545DA4A5" w:rsidR="00BE4B61" w:rsidRPr="002E0FE4" w:rsidRDefault="00A939DF" w:rsidP="00BE4B61">
            <w:pPr>
              <w:ind w:left="31"/>
              <w:rPr>
                <w:rFonts w:asciiTheme="majorHAnsi" w:eastAsia="Times New Roman" w:hAnsiTheme="majorHAnsi" w:cstheme="majorHAnsi"/>
                <w:sz w:val="20"/>
                <w:szCs w:val="20"/>
              </w:rPr>
            </w:pPr>
            <w:r w:rsidRPr="00AE6019">
              <w:rPr>
                <w:rFonts w:asciiTheme="majorHAnsi" w:eastAsia="Times New Roman" w:hAnsiTheme="majorHAnsi" w:cstheme="majorHAnsi"/>
                <w:sz w:val="20"/>
                <w:szCs w:val="20"/>
              </w:rPr>
              <w:t>The Aquaculture/Environment Interactions programme promotes sustainability and diversifying aquaculture by linking environmental conditions to aquaculture production.</w:t>
            </w:r>
            <w:r w:rsidR="006F713F" w:rsidRPr="00AE6019">
              <w:rPr>
                <w:rFonts w:asciiTheme="majorHAnsi" w:eastAsia="Times New Roman" w:hAnsiTheme="majorHAnsi" w:cstheme="majorHAnsi"/>
                <w:sz w:val="20"/>
                <w:szCs w:val="20"/>
              </w:rPr>
              <w:t xml:space="preserve"> The programme aligns with the NZ Governments (2019) </w:t>
            </w:r>
            <w:proofErr w:type="spellStart"/>
            <w:r w:rsidR="006F713F" w:rsidRPr="00AE6019">
              <w:rPr>
                <w:rFonts w:asciiTheme="majorHAnsi" w:eastAsia="Times New Roman" w:hAnsiTheme="majorHAnsi" w:cstheme="majorHAnsi"/>
                <w:sz w:val="20"/>
                <w:szCs w:val="20"/>
              </w:rPr>
              <w:t>Aqa</w:t>
            </w:r>
            <w:r w:rsidR="00F11598" w:rsidRPr="00AE6019">
              <w:rPr>
                <w:rFonts w:asciiTheme="majorHAnsi" w:eastAsia="Times New Roman" w:hAnsiTheme="majorHAnsi" w:cstheme="majorHAnsi"/>
                <w:sz w:val="20"/>
                <w:szCs w:val="20"/>
              </w:rPr>
              <w:t>uculture</w:t>
            </w:r>
            <w:proofErr w:type="spellEnd"/>
            <w:r w:rsidR="00F11598" w:rsidRPr="00AE6019">
              <w:rPr>
                <w:rFonts w:asciiTheme="majorHAnsi" w:eastAsia="Times New Roman" w:hAnsiTheme="majorHAnsi" w:cstheme="majorHAnsi"/>
                <w:sz w:val="20"/>
                <w:szCs w:val="20"/>
              </w:rPr>
              <w:t xml:space="preserve"> Strategy </w:t>
            </w:r>
            <w:r w:rsidR="006827E6" w:rsidRPr="00AE6019">
              <w:rPr>
                <w:rFonts w:asciiTheme="majorHAnsi" w:eastAsia="Times New Roman" w:hAnsiTheme="majorHAnsi" w:cstheme="majorHAnsi"/>
                <w:sz w:val="20"/>
                <w:szCs w:val="20"/>
              </w:rPr>
              <w:t>– particularly the outcomes</w:t>
            </w:r>
            <w:r w:rsidR="006827E6" w:rsidRPr="002E0FE4">
              <w:rPr>
                <w:rFonts w:asciiTheme="majorHAnsi" w:eastAsia="Times New Roman" w:hAnsiTheme="majorHAnsi" w:cstheme="majorHAnsi"/>
                <w:sz w:val="20"/>
                <w:szCs w:val="20"/>
              </w:rPr>
              <w:t xml:space="preserve"> relati</w:t>
            </w:r>
            <w:r w:rsidR="00062A73" w:rsidRPr="002E0FE4">
              <w:rPr>
                <w:rFonts w:asciiTheme="majorHAnsi" w:eastAsia="Times New Roman" w:hAnsiTheme="majorHAnsi" w:cstheme="majorHAnsi"/>
                <w:sz w:val="20"/>
                <w:szCs w:val="20"/>
              </w:rPr>
              <w:t>ng to</w:t>
            </w:r>
            <w:r w:rsidR="00E46C06" w:rsidRPr="002E0FE4">
              <w:rPr>
                <w:rFonts w:asciiTheme="majorHAnsi" w:eastAsia="Times New Roman" w:hAnsiTheme="majorHAnsi" w:cstheme="majorHAnsi"/>
                <w:sz w:val="20"/>
                <w:szCs w:val="20"/>
              </w:rPr>
              <w:t>:</w:t>
            </w:r>
            <w:r w:rsidR="009647A9" w:rsidRPr="002E0FE4">
              <w:rPr>
                <w:rFonts w:asciiTheme="majorHAnsi" w:eastAsia="Times New Roman" w:hAnsiTheme="majorHAnsi" w:cstheme="majorHAnsi"/>
                <w:sz w:val="20"/>
                <w:szCs w:val="20"/>
              </w:rPr>
              <w:t xml:space="preserve"> (a) </w:t>
            </w:r>
            <w:r w:rsidR="005008E2" w:rsidRPr="002E0FE4">
              <w:rPr>
                <w:rFonts w:asciiTheme="majorHAnsi" w:eastAsia="Times New Roman" w:hAnsiTheme="majorHAnsi" w:cstheme="majorHAnsi"/>
                <w:sz w:val="20"/>
                <w:szCs w:val="20"/>
              </w:rPr>
              <w:t xml:space="preserve">environmental </w:t>
            </w:r>
            <w:proofErr w:type="gramStart"/>
            <w:r w:rsidR="005008E2" w:rsidRPr="002E0FE4">
              <w:rPr>
                <w:rFonts w:asciiTheme="majorHAnsi" w:eastAsia="Times New Roman" w:hAnsiTheme="majorHAnsi" w:cstheme="majorHAnsi"/>
                <w:sz w:val="20"/>
                <w:szCs w:val="20"/>
              </w:rPr>
              <w:t xml:space="preserve">sustainability, </w:t>
            </w:r>
            <w:r w:rsidR="00E46C06" w:rsidRPr="002E0FE4">
              <w:rPr>
                <w:rFonts w:asciiTheme="majorHAnsi" w:eastAsia="Times New Roman" w:hAnsiTheme="majorHAnsi" w:cstheme="majorHAnsi"/>
                <w:sz w:val="20"/>
                <w:szCs w:val="20"/>
              </w:rPr>
              <w:t xml:space="preserve"> (</w:t>
            </w:r>
            <w:proofErr w:type="gramEnd"/>
            <w:r w:rsidR="009647A9" w:rsidRPr="002E0FE4">
              <w:rPr>
                <w:rFonts w:asciiTheme="majorHAnsi" w:eastAsia="Times New Roman" w:hAnsiTheme="majorHAnsi" w:cstheme="majorHAnsi"/>
                <w:sz w:val="20"/>
                <w:szCs w:val="20"/>
              </w:rPr>
              <w:t>b</w:t>
            </w:r>
            <w:r w:rsidR="00E46C06" w:rsidRPr="002E0FE4">
              <w:rPr>
                <w:rFonts w:asciiTheme="majorHAnsi" w:eastAsia="Times New Roman" w:hAnsiTheme="majorHAnsi" w:cstheme="majorHAnsi"/>
                <w:sz w:val="20"/>
                <w:szCs w:val="20"/>
              </w:rPr>
              <w:t>)</w:t>
            </w:r>
            <w:r w:rsidR="00062A73" w:rsidRPr="002E0FE4">
              <w:rPr>
                <w:rFonts w:asciiTheme="majorHAnsi" w:eastAsia="Times New Roman" w:hAnsiTheme="majorHAnsi" w:cstheme="majorHAnsi"/>
                <w:sz w:val="20"/>
                <w:szCs w:val="20"/>
              </w:rPr>
              <w:t xml:space="preserve"> </w:t>
            </w:r>
            <w:r w:rsidR="004F2F22" w:rsidRPr="002E0FE4">
              <w:rPr>
                <w:rFonts w:asciiTheme="majorHAnsi" w:eastAsia="Times New Roman" w:hAnsiTheme="majorHAnsi" w:cstheme="majorHAnsi"/>
                <w:sz w:val="20"/>
                <w:szCs w:val="20"/>
              </w:rPr>
              <w:t xml:space="preserve">maximizing farm </w:t>
            </w:r>
            <w:r w:rsidR="009647A9" w:rsidRPr="002E0FE4">
              <w:rPr>
                <w:rFonts w:asciiTheme="majorHAnsi" w:eastAsia="Times New Roman" w:hAnsiTheme="majorHAnsi" w:cstheme="majorHAnsi"/>
                <w:sz w:val="20"/>
                <w:szCs w:val="20"/>
              </w:rPr>
              <w:t>productivity and</w:t>
            </w:r>
            <w:r w:rsidR="00AD0E63" w:rsidRPr="002E0FE4">
              <w:rPr>
                <w:rFonts w:asciiTheme="majorHAnsi" w:eastAsia="Times New Roman" w:hAnsiTheme="majorHAnsi" w:cstheme="majorHAnsi"/>
                <w:sz w:val="20"/>
                <w:szCs w:val="20"/>
              </w:rPr>
              <w:t xml:space="preserve"> (</w:t>
            </w:r>
            <w:r w:rsidR="009647A9" w:rsidRPr="002E0FE4">
              <w:rPr>
                <w:rFonts w:asciiTheme="majorHAnsi" w:eastAsia="Times New Roman" w:hAnsiTheme="majorHAnsi" w:cstheme="majorHAnsi"/>
                <w:sz w:val="20"/>
                <w:szCs w:val="20"/>
              </w:rPr>
              <w:t>c</w:t>
            </w:r>
            <w:r w:rsidR="00AD0E63" w:rsidRPr="002E0FE4">
              <w:rPr>
                <w:rFonts w:asciiTheme="majorHAnsi" w:eastAsia="Times New Roman" w:hAnsiTheme="majorHAnsi" w:cstheme="majorHAnsi"/>
                <w:sz w:val="20"/>
                <w:szCs w:val="20"/>
              </w:rPr>
              <w:t xml:space="preserve">) developing an industry which is </w:t>
            </w:r>
            <w:r w:rsidR="00062A73" w:rsidRPr="002E0FE4">
              <w:rPr>
                <w:rFonts w:asciiTheme="majorHAnsi" w:eastAsia="Times New Roman" w:hAnsiTheme="majorHAnsi" w:cstheme="majorHAnsi"/>
                <w:sz w:val="20"/>
                <w:szCs w:val="20"/>
              </w:rPr>
              <w:t>resilie</w:t>
            </w:r>
            <w:r w:rsidR="00AD0E63" w:rsidRPr="002E0FE4">
              <w:rPr>
                <w:rFonts w:asciiTheme="majorHAnsi" w:eastAsia="Times New Roman" w:hAnsiTheme="majorHAnsi" w:cstheme="majorHAnsi"/>
                <w:sz w:val="20"/>
                <w:szCs w:val="20"/>
              </w:rPr>
              <w:t>nt</w:t>
            </w:r>
            <w:r w:rsidR="00062A73" w:rsidRPr="002E0FE4">
              <w:rPr>
                <w:rFonts w:asciiTheme="majorHAnsi" w:eastAsia="Times New Roman" w:hAnsiTheme="majorHAnsi" w:cstheme="majorHAnsi"/>
                <w:sz w:val="20"/>
                <w:szCs w:val="20"/>
              </w:rPr>
              <w:t xml:space="preserve"> against environmental fluctuations and trend</w:t>
            </w:r>
            <w:r w:rsidR="00CB76FB" w:rsidRPr="002E0FE4">
              <w:rPr>
                <w:rFonts w:asciiTheme="majorHAnsi" w:eastAsia="Times New Roman" w:hAnsiTheme="majorHAnsi" w:cstheme="majorHAnsi"/>
                <w:sz w:val="20"/>
                <w:szCs w:val="20"/>
              </w:rPr>
              <w:t>. Parts of the programme also align with the Aquaculture New Zealand Spat Strategy.</w:t>
            </w:r>
          </w:p>
        </w:tc>
      </w:tr>
      <w:tr w:rsidR="00BE4B61" w:rsidRPr="002E0FE4" w14:paraId="4CBC11C3" w14:textId="77777777" w:rsidTr="00F16322">
        <w:tc>
          <w:tcPr>
            <w:tcW w:w="1285" w:type="pct"/>
            <w:shd w:val="clear" w:color="auto" w:fill="auto"/>
            <w:tcMar>
              <w:top w:w="30" w:type="dxa"/>
              <w:left w:w="30" w:type="dxa"/>
              <w:bottom w:w="30" w:type="dxa"/>
              <w:right w:w="30" w:type="dxa"/>
            </w:tcMar>
          </w:tcPr>
          <w:p w14:paraId="305FE125" w14:textId="421DD6C7" w:rsidR="00BE4B61" w:rsidRPr="002E0FE4" w:rsidRDefault="00BE4B61" w:rsidP="00BE4B61">
            <w:pPr>
              <w:ind w:left="31"/>
              <w:rPr>
                <w:rFonts w:asciiTheme="majorHAnsi" w:eastAsia="Times New Roman" w:hAnsiTheme="majorHAnsi" w:cstheme="majorHAnsi"/>
                <w:bCs/>
                <w:color w:val="002060"/>
                <w:sz w:val="18"/>
                <w:szCs w:val="16"/>
              </w:rPr>
            </w:pPr>
            <w:r w:rsidRPr="002E0FE4">
              <w:rPr>
                <w:rFonts w:asciiTheme="majorHAnsi" w:eastAsia="Times New Roman" w:hAnsiTheme="majorHAnsi" w:cstheme="majorHAnsi"/>
                <w:bCs/>
                <w:color w:val="002060"/>
                <w:sz w:val="18"/>
                <w:szCs w:val="16"/>
              </w:rPr>
              <w:t>How Project contributes to Programme</w:t>
            </w:r>
          </w:p>
        </w:tc>
        <w:tc>
          <w:tcPr>
            <w:tcW w:w="3715" w:type="pct"/>
            <w:shd w:val="clear" w:color="auto" w:fill="auto"/>
          </w:tcPr>
          <w:p w14:paraId="694D1218" w14:textId="7D4319BD" w:rsidR="009B189C" w:rsidRPr="002E0FE4" w:rsidRDefault="009B189C" w:rsidP="00BE4B61">
            <w:pPr>
              <w:shd w:val="clear" w:color="auto" w:fill="FFFFFF"/>
              <w:rPr>
                <w:rFonts w:asciiTheme="majorHAnsi" w:eastAsia="Times New Roman" w:hAnsiTheme="majorHAnsi" w:cstheme="majorHAnsi"/>
                <w:i/>
                <w:iCs/>
                <w:sz w:val="20"/>
                <w:szCs w:val="20"/>
              </w:rPr>
            </w:pPr>
            <w:r w:rsidRPr="002E0FE4">
              <w:rPr>
                <w:rFonts w:asciiTheme="majorHAnsi" w:eastAsia="Times New Roman" w:hAnsiTheme="majorHAnsi" w:cstheme="majorHAnsi"/>
                <w:sz w:val="20"/>
                <w:szCs w:val="20"/>
              </w:rPr>
              <w:t xml:space="preserve">This project will provide farmers with means of mitigating </w:t>
            </w:r>
            <w:r w:rsidR="00587ADB" w:rsidRPr="002E0FE4">
              <w:rPr>
                <w:rFonts w:asciiTheme="majorHAnsi" w:eastAsia="Times New Roman" w:hAnsiTheme="majorHAnsi" w:cstheme="majorHAnsi"/>
                <w:sz w:val="20"/>
                <w:szCs w:val="20"/>
              </w:rPr>
              <w:t xml:space="preserve">financial </w:t>
            </w:r>
            <w:r w:rsidRPr="002E0FE4">
              <w:rPr>
                <w:rFonts w:asciiTheme="majorHAnsi" w:eastAsia="Times New Roman" w:hAnsiTheme="majorHAnsi" w:cstheme="majorHAnsi"/>
                <w:sz w:val="20"/>
                <w:szCs w:val="20"/>
              </w:rPr>
              <w:t xml:space="preserve">risk </w:t>
            </w:r>
            <w:r w:rsidR="005B0BEF" w:rsidRPr="002E0FE4">
              <w:rPr>
                <w:rFonts w:asciiTheme="majorHAnsi" w:eastAsia="Times New Roman" w:hAnsiTheme="majorHAnsi" w:cstheme="majorHAnsi"/>
                <w:sz w:val="20"/>
                <w:szCs w:val="20"/>
              </w:rPr>
              <w:t xml:space="preserve">from year-to-year fluctuations in crop-performance </w:t>
            </w:r>
            <w:r w:rsidR="00587ADB" w:rsidRPr="002E0FE4">
              <w:rPr>
                <w:rFonts w:asciiTheme="majorHAnsi" w:eastAsia="Times New Roman" w:hAnsiTheme="majorHAnsi" w:cstheme="majorHAnsi"/>
                <w:sz w:val="20"/>
                <w:szCs w:val="20"/>
              </w:rPr>
              <w:t xml:space="preserve">and risk to stock </w:t>
            </w:r>
            <w:r w:rsidRPr="002E0FE4">
              <w:rPr>
                <w:rFonts w:asciiTheme="majorHAnsi" w:eastAsia="Times New Roman" w:hAnsiTheme="majorHAnsi" w:cstheme="majorHAnsi"/>
                <w:sz w:val="20"/>
                <w:szCs w:val="20"/>
              </w:rPr>
              <w:t>by providing seasonal-scale forecasts of sea-surface temperature</w:t>
            </w:r>
            <w:r w:rsidR="00587ADB" w:rsidRPr="002E0FE4">
              <w:rPr>
                <w:rFonts w:asciiTheme="majorHAnsi" w:eastAsia="Times New Roman" w:hAnsiTheme="majorHAnsi" w:cstheme="majorHAnsi"/>
                <w:sz w:val="20"/>
                <w:szCs w:val="20"/>
              </w:rPr>
              <w:t xml:space="preserve"> and </w:t>
            </w:r>
            <w:r w:rsidRPr="002E0FE4">
              <w:rPr>
                <w:rFonts w:asciiTheme="majorHAnsi" w:eastAsia="Times New Roman" w:hAnsiTheme="majorHAnsi" w:cstheme="majorHAnsi"/>
                <w:sz w:val="20"/>
                <w:szCs w:val="20"/>
              </w:rPr>
              <w:t>mussel condition in Pelorus Sound.</w:t>
            </w:r>
            <w:r w:rsidR="00FC28B1" w:rsidRPr="002E0FE4">
              <w:rPr>
                <w:rFonts w:asciiTheme="majorHAnsi" w:eastAsia="Times New Roman" w:hAnsiTheme="majorHAnsi" w:cstheme="majorHAnsi"/>
                <w:sz w:val="20"/>
                <w:szCs w:val="20"/>
              </w:rPr>
              <w:t xml:space="preserve">  Therefore, it aligns especially closely with the </w:t>
            </w:r>
            <w:r w:rsidR="00581D51" w:rsidRPr="002E0FE4">
              <w:rPr>
                <w:rFonts w:asciiTheme="majorHAnsi" w:eastAsia="Times New Roman" w:hAnsiTheme="majorHAnsi" w:cstheme="majorHAnsi"/>
                <w:sz w:val="20"/>
                <w:szCs w:val="20"/>
              </w:rPr>
              <w:t>resilience outcome of the NZ Govt (2019) Aquaculture Strategy</w:t>
            </w:r>
          </w:p>
        </w:tc>
      </w:tr>
      <w:tr w:rsidR="00BE4B61" w:rsidRPr="002E0FE4" w14:paraId="02D92674" w14:textId="77777777" w:rsidTr="00F16322">
        <w:tc>
          <w:tcPr>
            <w:tcW w:w="1285" w:type="pct"/>
            <w:tcBorders>
              <w:bottom w:val="single" w:sz="4" w:space="0" w:color="auto"/>
            </w:tcBorders>
            <w:shd w:val="clear" w:color="auto" w:fill="auto"/>
            <w:tcMar>
              <w:top w:w="30" w:type="dxa"/>
              <w:left w:w="30" w:type="dxa"/>
              <w:bottom w:w="30" w:type="dxa"/>
              <w:right w:w="30" w:type="dxa"/>
            </w:tcMar>
          </w:tcPr>
          <w:p w14:paraId="32E69FC0" w14:textId="4B8AF1D1" w:rsidR="00BE4B61" w:rsidRPr="002E0FE4" w:rsidRDefault="00BE4B61" w:rsidP="00BE4B61">
            <w:pPr>
              <w:ind w:left="31"/>
              <w:rPr>
                <w:rFonts w:asciiTheme="majorHAnsi" w:eastAsia="Times New Roman" w:hAnsiTheme="majorHAnsi" w:cstheme="majorHAnsi"/>
                <w:bCs/>
                <w:color w:val="002060"/>
                <w:sz w:val="18"/>
                <w:szCs w:val="16"/>
              </w:rPr>
            </w:pPr>
            <w:r w:rsidRPr="002E0FE4">
              <w:rPr>
                <w:rFonts w:asciiTheme="majorHAnsi" w:eastAsia="Times New Roman" w:hAnsiTheme="majorHAnsi" w:cstheme="majorHAnsi"/>
                <w:bCs/>
                <w:color w:val="002060"/>
                <w:sz w:val="18"/>
                <w:szCs w:val="16"/>
              </w:rPr>
              <w:t>National Centre KPIs</w:t>
            </w:r>
          </w:p>
        </w:tc>
        <w:tc>
          <w:tcPr>
            <w:tcW w:w="3715" w:type="pct"/>
            <w:tcBorders>
              <w:bottom w:val="single" w:sz="4" w:space="0" w:color="auto"/>
            </w:tcBorders>
            <w:shd w:val="clear" w:color="auto" w:fill="auto"/>
          </w:tcPr>
          <w:p w14:paraId="548B661C" w14:textId="11AC9909" w:rsidR="00BE4B61" w:rsidRPr="002E0FE4" w:rsidRDefault="00BE4B61" w:rsidP="00BE4B61">
            <w:pPr>
              <w:ind w:left="31"/>
              <w:rPr>
                <w:rFonts w:asciiTheme="majorHAnsi" w:eastAsia="Times New Roman" w:hAnsiTheme="majorHAnsi" w:cstheme="majorHAnsi"/>
                <w:color w:val="000000" w:themeColor="text1"/>
                <w:sz w:val="20"/>
                <w:szCs w:val="20"/>
              </w:rPr>
            </w:pPr>
            <w:r w:rsidRPr="002E0FE4">
              <w:rPr>
                <w:rFonts w:asciiTheme="majorHAnsi" w:hAnsiTheme="majorHAnsi" w:cstheme="majorHAnsi"/>
                <w:sz w:val="20"/>
                <w:szCs w:val="20"/>
              </w:rPr>
              <w:t>Data analyses of mussel growth relative to environmental factors are available for development of models to forecast mussel crop performance in Pelorus Sound by June 2023</w:t>
            </w:r>
          </w:p>
        </w:tc>
      </w:tr>
      <w:tr w:rsidR="00BE4B61" w:rsidRPr="002E0FE4" w14:paraId="761BCB60" w14:textId="77777777" w:rsidTr="00F16322">
        <w:tc>
          <w:tcPr>
            <w:tcW w:w="1285" w:type="pct"/>
            <w:tcBorders>
              <w:bottom w:val="single" w:sz="4" w:space="0" w:color="auto"/>
            </w:tcBorders>
            <w:shd w:val="clear" w:color="auto" w:fill="auto"/>
            <w:tcMar>
              <w:top w:w="30" w:type="dxa"/>
              <w:left w:w="30" w:type="dxa"/>
              <w:bottom w:w="30" w:type="dxa"/>
              <w:right w:w="30" w:type="dxa"/>
            </w:tcMar>
          </w:tcPr>
          <w:p w14:paraId="36628BC7" w14:textId="5FA5BE37" w:rsidR="00BE4B61" w:rsidRPr="002E0FE4" w:rsidRDefault="00BE4B61" w:rsidP="00BE4B61">
            <w:pPr>
              <w:ind w:left="31"/>
              <w:rPr>
                <w:rFonts w:asciiTheme="majorHAnsi" w:eastAsia="Times New Roman" w:hAnsiTheme="majorHAnsi" w:cstheme="majorHAnsi"/>
                <w:bCs/>
                <w:color w:val="002060"/>
                <w:sz w:val="18"/>
                <w:szCs w:val="16"/>
              </w:rPr>
            </w:pPr>
            <w:r w:rsidRPr="002E0FE4">
              <w:rPr>
                <w:rFonts w:asciiTheme="majorHAnsi" w:eastAsia="Times New Roman" w:hAnsiTheme="majorHAnsi" w:cstheme="majorHAnsi"/>
                <w:bCs/>
                <w:color w:val="002060"/>
                <w:sz w:val="18"/>
                <w:szCs w:val="16"/>
              </w:rPr>
              <w:t>Integration within NIWA</w:t>
            </w:r>
          </w:p>
        </w:tc>
        <w:tc>
          <w:tcPr>
            <w:tcW w:w="3715" w:type="pct"/>
            <w:tcBorders>
              <w:bottom w:val="single" w:sz="4" w:space="0" w:color="auto"/>
            </w:tcBorders>
            <w:shd w:val="clear" w:color="auto" w:fill="auto"/>
          </w:tcPr>
          <w:p w14:paraId="7D991DDE" w14:textId="387D81FB" w:rsidR="00BE4B61" w:rsidRPr="002E0FE4" w:rsidRDefault="00BE4B61" w:rsidP="00BE4B61">
            <w:pPr>
              <w:ind w:left="31"/>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This project relies on climate forecast data compilation and analysis</w:t>
            </w:r>
            <w:r w:rsidR="005B0BEF" w:rsidRPr="002E0FE4">
              <w:rPr>
                <w:rFonts w:asciiTheme="majorHAnsi" w:eastAsia="Times New Roman" w:hAnsiTheme="majorHAnsi" w:cstheme="majorHAnsi"/>
                <w:sz w:val="20"/>
                <w:szCs w:val="20"/>
              </w:rPr>
              <w:t xml:space="preserve"> from the Climate, Atmosphere, and Hazards Centre, with input from </w:t>
            </w:r>
            <w:r w:rsidRPr="002E0FE4">
              <w:rPr>
                <w:rFonts w:asciiTheme="majorHAnsi" w:eastAsia="Times New Roman" w:hAnsiTheme="majorHAnsi" w:cstheme="majorHAnsi"/>
                <w:sz w:val="20"/>
                <w:szCs w:val="20"/>
              </w:rPr>
              <w:t>the Forecasting Services and Climate and Environmental Applications teams</w:t>
            </w:r>
            <w:r w:rsidR="0009218A" w:rsidRPr="002E0FE4">
              <w:rPr>
                <w:rFonts w:asciiTheme="majorHAnsi" w:eastAsia="Times New Roman" w:hAnsiTheme="majorHAnsi" w:cstheme="majorHAnsi"/>
                <w:sz w:val="20"/>
                <w:szCs w:val="20"/>
              </w:rPr>
              <w:t>. The research paper outputs, specifically the validation of climate model projections of sea surface temperature, will be useful to both the Transforming Aquaculture and Predicting Climate Variability and Change programmes. Furthermore, the methods behind the downscaling work undertaken in this project has synergies across NIWA (e.g., climate change projections and sub-seasonal to seasonal forecasting).</w:t>
            </w:r>
          </w:p>
        </w:tc>
      </w:tr>
    </w:tbl>
    <w:p w14:paraId="72EEC8BC" w14:textId="47853740" w:rsidR="00571BD6" w:rsidRPr="002E0FE4" w:rsidRDefault="00571BD6" w:rsidP="00571BD6">
      <w:pPr>
        <w:rPr>
          <w:rFonts w:asciiTheme="majorHAnsi" w:hAnsiTheme="majorHAnsi" w:cstheme="majorHAnsi"/>
        </w:rPr>
      </w:pPr>
    </w:p>
    <w:tbl>
      <w:tblPr>
        <w:tblW w:w="5000" w:type="pct"/>
        <w:tblBorders>
          <w:top w:val="single" w:sz="24" w:space="0" w:color="1F4E79" w:themeColor="accent1" w:themeShade="80"/>
          <w:left w:val="single" w:sz="6" w:space="0" w:color="CCCCCC"/>
          <w:bottom w:val="single" w:sz="24" w:space="0" w:color="1F4E79" w:themeColor="accent1" w:themeShade="80"/>
          <w:right w:val="single" w:sz="6" w:space="0" w:color="CCCCCC"/>
          <w:insideH w:val="single" w:sz="2" w:space="0" w:color="A6A6A6" w:themeColor="background1" w:themeShade="A6"/>
          <w:insideV w:val="single" w:sz="6" w:space="0" w:color="CCCCCC"/>
        </w:tblBorders>
        <w:shd w:val="clear" w:color="auto" w:fill="FFFFFF"/>
        <w:tblCellMar>
          <w:left w:w="0" w:type="dxa"/>
          <w:right w:w="0" w:type="dxa"/>
        </w:tblCellMar>
        <w:tblLook w:val="04A0" w:firstRow="1" w:lastRow="0" w:firstColumn="1" w:lastColumn="0" w:noHBand="0" w:noVBand="1"/>
      </w:tblPr>
      <w:tblGrid>
        <w:gridCol w:w="10450"/>
      </w:tblGrid>
      <w:tr w:rsidR="00D9601C" w:rsidRPr="002E0FE4" w14:paraId="58E33E86" w14:textId="77777777" w:rsidTr="00A12DDA">
        <w:tc>
          <w:tcPr>
            <w:tcW w:w="5000" w:type="pct"/>
            <w:tcBorders>
              <w:bottom w:val="single" w:sz="2" w:space="0" w:color="A6A6A6" w:themeColor="background1" w:themeShade="A6"/>
            </w:tcBorders>
            <w:shd w:val="clear" w:color="auto" w:fill="auto"/>
            <w:tcMar>
              <w:top w:w="30" w:type="dxa"/>
              <w:left w:w="30" w:type="dxa"/>
              <w:bottom w:w="30" w:type="dxa"/>
              <w:right w:w="30" w:type="dxa"/>
            </w:tcMar>
          </w:tcPr>
          <w:p w14:paraId="35034A64" w14:textId="5C841C54" w:rsidR="00D9601C" w:rsidRPr="002E0FE4" w:rsidRDefault="00D9601C" w:rsidP="00A12DDA">
            <w:pPr>
              <w:ind w:left="31"/>
              <w:rPr>
                <w:rFonts w:asciiTheme="majorHAnsi" w:eastAsia="Times New Roman" w:hAnsiTheme="majorHAnsi" w:cstheme="majorHAnsi"/>
                <w:bCs/>
                <w:i/>
                <w:iCs/>
                <w:color w:val="002060"/>
                <w:szCs w:val="22"/>
              </w:rPr>
            </w:pPr>
            <w:r w:rsidRPr="002E0FE4">
              <w:rPr>
                <w:rFonts w:asciiTheme="majorHAnsi" w:eastAsia="Times New Roman" w:hAnsiTheme="majorHAnsi" w:cstheme="majorHAnsi"/>
                <w:bCs/>
                <w:i/>
                <w:iCs/>
                <w:color w:val="002060"/>
                <w:szCs w:val="22"/>
              </w:rPr>
              <w:t xml:space="preserve">Project </w:t>
            </w:r>
            <w:r w:rsidR="00A444DB" w:rsidRPr="002E0FE4">
              <w:rPr>
                <w:rFonts w:asciiTheme="majorHAnsi" w:eastAsia="Times New Roman" w:hAnsiTheme="majorHAnsi" w:cstheme="majorHAnsi"/>
                <w:bCs/>
                <w:i/>
                <w:iCs/>
                <w:color w:val="002060"/>
                <w:szCs w:val="22"/>
              </w:rPr>
              <w:t>Rationale</w:t>
            </w:r>
            <w:r w:rsidRPr="002E0FE4">
              <w:rPr>
                <w:rFonts w:asciiTheme="majorHAnsi" w:eastAsia="Times New Roman" w:hAnsiTheme="majorHAnsi" w:cstheme="majorHAnsi"/>
                <w:bCs/>
                <w:i/>
                <w:iCs/>
                <w:color w:val="002060"/>
                <w:szCs w:val="22"/>
              </w:rPr>
              <w:t xml:space="preserve"> </w:t>
            </w:r>
          </w:p>
          <w:p w14:paraId="5A49B64B" w14:textId="7E554FAB" w:rsidR="00D9601C" w:rsidRPr="002E0FE4" w:rsidRDefault="00A8507B" w:rsidP="00A12DDA">
            <w:pPr>
              <w:ind w:left="31"/>
              <w:rPr>
                <w:rFonts w:asciiTheme="majorHAnsi" w:eastAsia="Times New Roman" w:hAnsiTheme="majorHAnsi" w:cstheme="majorHAnsi"/>
                <w:bCs/>
                <w:i/>
                <w:iCs/>
                <w:color w:val="002060"/>
                <w:szCs w:val="22"/>
              </w:rPr>
            </w:pPr>
            <w:r w:rsidRPr="002E0FE4">
              <w:rPr>
                <w:rFonts w:asciiTheme="majorHAnsi" w:eastAsia="Times New Roman" w:hAnsiTheme="majorHAnsi" w:cstheme="majorHAnsi"/>
                <w:bCs/>
                <w:i/>
                <w:iCs/>
                <w:color w:val="002060"/>
                <w:sz w:val="18"/>
                <w:szCs w:val="16"/>
              </w:rPr>
              <w:t>D</w:t>
            </w:r>
            <w:r w:rsidR="00D9601C" w:rsidRPr="002E0FE4">
              <w:rPr>
                <w:rFonts w:asciiTheme="majorHAnsi" w:eastAsia="Times New Roman" w:hAnsiTheme="majorHAnsi" w:cstheme="majorHAnsi"/>
                <w:bCs/>
                <w:i/>
                <w:iCs/>
                <w:color w:val="002060"/>
                <w:sz w:val="18"/>
                <w:szCs w:val="16"/>
              </w:rPr>
              <w:t xml:space="preserve">escribe the proposed research, in the context of existing </w:t>
            </w:r>
            <w:r w:rsidR="00AB1DB8" w:rsidRPr="002E0FE4">
              <w:rPr>
                <w:rFonts w:asciiTheme="majorHAnsi" w:eastAsia="Times New Roman" w:hAnsiTheme="majorHAnsi" w:cstheme="majorHAnsi"/>
                <w:bCs/>
                <w:i/>
                <w:iCs/>
                <w:color w:val="002060"/>
                <w:sz w:val="18"/>
                <w:szCs w:val="16"/>
              </w:rPr>
              <w:t>knowledge</w:t>
            </w:r>
            <w:r w:rsidR="00D9601C" w:rsidRPr="002E0FE4">
              <w:rPr>
                <w:rFonts w:asciiTheme="majorHAnsi" w:eastAsia="Times New Roman" w:hAnsiTheme="majorHAnsi" w:cstheme="majorHAnsi"/>
                <w:bCs/>
                <w:i/>
                <w:iCs/>
                <w:color w:val="002060"/>
                <w:sz w:val="18"/>
                <w:szCs w:val="16"/>
              </w:rPr>
              <w:t xml:space="preserve"> and how</w:t>
            </w:r>
            <w:r w:rsidR="00123C2C" w:rsidRPr="002E0FE4">
              <w:rPr>
                <w:rFonts w:asciiTheme="majorHAnsi" w:eastAsia="Times New Roman" w:hAnsiTheme="majorHAnsi" w:cstheme="majorHAnsi"/>
                <w:bCs/>
                <w:i/>
                <w:iCs/>
                <w:color w:val="002060"/>
                <w:sz w:val="18"/>
                <w:szCs w:val="16"/>
              </w:rPr>
              <w:t>/why</w:t>
            </w:r>
            <w:r w:rsidR="00D9601C" w:rsidRPr="002E0FE4">
              <w:rPr>
                <w:rFonts w:asciiTheme="majorHAnsi" w:eastAsia="Times New Roman" w:hAnsiTheme="majorHAnsi" w:cstheme="majorHAnsi"/>
                <w:bCs/>
                <w:i/>
                <w:iCs/>
                <w:color w:val="002060"/>
                <w:sz w:val="18"/>
                <w:szCs w:val="16"/>
              </w:rPr>
              <w:t xml:space="preserve"> it will contribute to achieving the programme's science directions </w:t>
            </w:r>
            <w:r w:rsidR="00BD4C89" w:rsidRPr="002E0FE4">
              <w:rPr>
                <w:rFonts w:asciiTheme="majorHAnsi" w:eastAsia="Times New Roman" w:hAnsiTheme="majorHAnsi" w:cstheme="majorHAnsi"/>
                <w:bCs/>
                <w:i/>
                <w:iCs/>
                <w:color w:val="002060"/>
                <w:sz w:val="18"/>
                <w:szCs w:val="16"/>
              </w:rPr>
              <w:t xml:space="preserve">and </w:t>
            </w:r>
            <w:r w:rsidR="00D9601C" w:rsidRPr="002E0FE4">
              <w:rPr>
                <w:rFonts w:asciiTheme="majorHAnsi" w:eastAsia="Times New Roman" w:hAnsiTheme="majorHAnsi" w:cstheme="majorHAnsi"/>
                <w:bCs/>
                <w:i/>
                <w:iCs/>
                <w:color w:val="002060"/>
                <w:sz w:val="18"/>
                <w:szCs w:val="16"/>
              </w:rPr>
              <w:t xml:space="preserve">knowledge transfer activities </w:t>
            </w:r>
            <w:r w:rsidR="00347E22" w:rsidRPr="002E0FE4">
              <w:rPr>
                <w:rFonts w:asciiTheme="majorHAnsi" w:eastAsia="Times New Roman" w:hAnsiTheme="majorHAnsi" w:cstheme="majorHAnsi"/>
                <w:bCs/>
                <w:i/>
                <w:iCs/>
                <w:color w:val="002060"/>
                <w:sz w:val="18"/>
                <w:szCs w:val="16"/>
              </w:rPr>
              <w:t>(Maximum of 30 lines)</w:t>
            </w:r>
          </w:p>
        </w:tc>
      </w:tr>
      <w:tr w:rsidR="00D9601C" w:rsidRPr="002E0FE4" w14:paraId="7CC7EE93" w14:textId="77777777" w:rsidTr="00A12DDA">
        <w:tc>
          <w:tcPr>
            <w:tcW w:w="5000" w:type="pct"/>
            <w:shd w:val="clear" w:color="auto" w:fill="auto"/>
            <w:tcMar>
              <w:top w:w="30" w:type="dxa"/>
              <w:left w:w="30" w:type="dxa"/>
              <w:bottom w:w="30" w:type="dxa"/>
              <w:right w:w="30" w:type="dxa"/>
            </w:tcMar>
          </w:tcPr>
          <w:p w14:paraId="459A8ADD" w14:textId="57B345A3" w:rsidR="00E63C3D" w:rsidRPr="002E0FE4" w:rsidRDefault="00E63C3D" w:rsidP="00AF0E42">
            <w:p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This is the second year of a project that will likely last three years.</w:t>
            </w:r>
            <w:r w:rsidR="00EE26FF" w:rsidRPr="002E0FE4">
              <w:rPr>
                <w:rFonts w:asciiTheme="majorHAnsi" w:eastAsia="Times New Roman" w:hAnsiTheme="majorHAnsi" w:cstheme="majorHAnsi"/>
                <w:sz w:val="20"/>
                <w:szCs w:val="20"/>
              </w:rPr>
              <w:t xml:space="preserve">  One of the work-streams relies upon substantial in-kind support from </w:t>
            </w:r>
            <w:proofErr w:type="spellStart"/>
            <w:r w:rsidR="00EE26FF" w:rsidRPr="002E0FE4">
              <w:rPr>
                <w:rFonts w:asciiTheme="majorHAnsi" w:eastAsia="Times New Roman" w:hAnsiTheme="majorHAnsi" w:cstheme="majorHAnsi"/>
                <w:sz w:val="20"/>
                <w:szCs w:val="20"/>
              </w:rPr>
              <w:t>Konon</w:t>
            </w:r>
            <w:proofErr w:type="spellEnd"/>
            <w:r w:rsidR="00EE26FF" w:rsidRPr="002E0FE4">
              <w:rPr>
                <w:rFonts w:asciiTheme="majorHAnsi" w:eastAsia="Times New Roman" w:hAnsiTheme="majorHAnsi" w:cstheme="majorHAnsi"/>
                <w:sz w:val="20"/>
                <w:szCs w:val="20"/>
              </w:rPr>
              <w:t xml:space="preserve"> LLC (</w:t>
            </w:r>
            <w:r w:rsidR="009953AF" w:rsidRPr="002E0FE4">
              <w:rPr>
                <w:rFonts w:asciiTheme="majorHAnsi" w:eastAsia="Times New Roman" w:hAnsiTheme="majorHAnsi" w:cstheme="majorHAnsi"/>
                <w:sz w:val="20"/>
                <w:szCs w:val="20"/>
              </w:rPr>
              <w:t>their staff are responsible for deploying and rec</w:t>
            </w:r>
            <w:r w:rsidR="00432C70" w:rsidRPr="002E0FE4">
              <w:rPr>
                <w:rFonts w:asciiTheme="majorHAnsi" w:eastAsia="Times New Roman" w:hAnsiTheme="majorHAnsi" w:cstheme="majorHAnsi"/>
                <w:sz w:val="20"/>
                <w:szCs w:val="20"/>
              </w:rPr>
              <w:t>o</w:t>
            </w:r>
            <w:r w:rsidR="009953AF" w:rsidRPr="002E0FE4">
              <w:rPr>
                <w:rFonts w:asciiTheme="majorHAnsi" w:eastAsia="Times New Roman" w:hAnsiTheme="majorHAnsi" w:cstheme="majorHAnsi"/>
                <w:sz w:val="20"/>
                <w:szCs w:val="20"/>
              </w:rPr>
              <w:t xml:space="preserve">vering temperature sensors from </w:t>
            </w:r>
            <w:r w:rsidR="00432C70" w:rsidRPr="002E0FE4">
              <w:rPr>
                <w:rFonts w:asciiTheme="majorHAnsi" w:eastAsia="Times New Roman" w:hAnsiTheme="majorHAnsi" w:cstheme="majorHAnsi"/>
                <w:sz w:val="20"/>
                <w:szCs w:val="20"/>
              </w:rPr>
              <w:t>about 20 farms around the Marlborough Sounds and returning t</w:t>
            </w:r>
            <w:r w:rsidR="00BB04EB" w:rsidRPr="002E0FE4">
              <w:rPr>
                <w:rFonts w:asciiTheme="majorHAnsi" w:eastAsia="Times New Roman" w:hAnsiTheme="majorHAnsi" w:cstheme="majorHAnsi"/>
                <w:sz w:val="20"/>
                <w:szCs w:val="20"/>
              </w:rPr>
              <w:t>h</w:t>
            </w:r>
            <w:r w:rsidR="00432C70" w:rsidRPr="002E0FE4">
              <w:rPr>
                <w:rFonts w:asciiTheme="majorHAnsi" w:eastAsia="Times New Roman" w:hAnsiTheme="majorHAnsi" w:cstheme="majorHAnsi"/>
                <w:sz w:val="20"/>
                <w:szCs w:val="20"/>
              </w:rPr>
              <w:t>ose instruments to us).</w:t>
            </w:r>
          </w:p>
          <w:p w14:paraId="02B02516" w14:textId="77777777" w:rsidR="00E63C3D" w:rsidRPr="002E0FE4" w:rsidRDefault="00E63C3D" w:rsidP="00AF0E42">
            <w:pPr>
              <w:rPr>
                <w:rFonts w:asciiTheme="majorHAnsi" w:eastAsia="Times New Roman" w:hAnsiTheme="majorHAnsi" w:cstheme="majorHAnsi"/>
                <w:sz w:val="20"/>
                <w:szCs w:val="20"/>
              </w:rPr>
            </w:pPr>
          </w:p>
          <w:p w14:paraId="5A87784D" w14:textId="54CE200B" w:rsidR="00AF0E42" w:rsidRPr="002E0FE4" w:rsidRDefault="00AF0E42" w:rsidP="00AF0E42">
            <w:p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 xml:space="preserve">The New Zealand Government’s Aquaculture Strategy (2019) seeks to enable sustainable growth of the industry to </w:t>
            </w:r>
            <w:proofErr w:type="spellStart"/>
            <w:r w:rsidRPr="002E0FE4">
              <w:rPr>
                <w:rFonts w:asciiTheme="majorHAnsi" w:eastAsia="Times New Roman" w:hAnsiTheme="majorHAnsi" w:cstheme="majorHAnsi"/>
                <w:sz w:val="20"/>
                <w:szCs w:val="20"/>
              </w:rPr>
              <w:t>to</w:t>
            </w:r>
            <w:proofErr w:type="spellEnd"/>
            <w:r w:rsidRPr="002E0FE4">
              <w:rPr>
                <w:rFonts w:asciiTheme="majorHAnsi" w:eastAsia="Times New Roman" w:hAnsiTheme="majorHAnsi" w:cstheme="majorHAnsi"/>
                <w:sz w:val="20"/>
                <w:szCs w:val="20"/>
              </w:rPr>
              <w:t xml:space="preserve"> $3b in sales by 2035.  It identifies four target outcomes: (a) an environmentally sustainable industry, (b) a productive industry that supports regional economies, (c) an industry that is resilient against biological harm and the challenges of climate change, (d) inclusive – utilizing partnerships with Māori and communities to generate meaningful jobs, </w:t>
            </w:r>
            <w:proofErr w:type="gramStart"/>
            <w:r w:rsidRPr="002E0FE4">
              <w:rPr>
                <w:rFonts w:asciiTheme="majorHAnsi" w:eastAsia="Times New Roman" w:hAnsiTheme="majorHAnsi" w:cstheme="majorHAnsi"/>
                <w:sz w:val="20"/>
                <w:szCs w:val="20"/>
              </w:rPr>
              <w:t>prosperity</w:t>
            </w:r>
            <w:proofErr w:type="gramEnd"/>
            <w:r w:rsidRPr="002E0FE4">
              <w:rPr>
                <w:rFonts w:asciiTheme="majorHAnsi" w:eastAsia="Times New Roman" w:hAnsiTheme="majorHAnsi" w:cstheme="majorHAnsi"/>
                <w:sz w:val="20"/>
                <w:szCs w:val="20"/>
              </w:rPr>
              <w:t xml:space="preserve"> and well-being.</w:t>
            </w:r>
          </w:p>
          <w:p w14:paraId="37D4B389" w14:textId="77777777" w:rsidR="00AF0E42" w:rsidRPr="002E0FE4" w:rsidRDefault="00AF0E42" w:rsidP="009B189C">
            <w:pPr>
              <w:rPr>
                <w:rFonts w:asciiTheme="majorHAnsi" w:eastAsia="Times New Roman" w:hAnsiTheme="majorHAnsi" w:cstheme="majorHAnsi"/>
                <w:sz w:val="20"/>
                <w:szCs w:val="20"/>
              </w:rPr>
            </w:pPr>
          </w:p>
          <w:p w14:paraId="3197E9F2" w14:textId="6359CB5F" w:rsidR="00E90DB0" w:rsidRPr="002E0FE4" w:rsidRDefault="009B189C" w:rsidP="009B189C">
            <w:p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Global warming is causing sea-temperatures to rise at around 0.2</w:t>
            </w:r>
            <w:r w:rsidR="00D31B2E" w:rsidRPr="002E0FE4">
              <w:rPr>
                <w:rFonts w:asciiTheme="majorHAnsi" w:eastAsia="Times New Roman" w:hAnsiTheme="majorHAnsi" w:cstheme="majorHAnsi"/>
                <w:sz w:val="20"/>
                <w:szCs w:val="20"/>
              </w:rPr>
              <w:t>–</w:t>
            </w:r>
            <w:r w:rsidRPr="002E0FE4">
              <w:rPr>
                <w:rFonts w:asciiTheme="majorHAnsi" w:eastAsia="Times New Roman" w:hAnsiTheme="majorHAnsi" w:cstheme="majorHAnsi"/>
                <w:sz w:val="20"/>
                <w:szCs w:val="20"/>
              </w:rPr>
              <w:t xml:space="preserve">0.3 degrees /decade around New Zealand. ENSO oscillations and weather-events induce fluctuations about the decadal-scale averages for any given time of year. </w:t>
            </w:r>
            <w:r w:rsidR="005B0BEF" w:rsidRPr="002E0FE4">
              <w:rPr>
                <w:rFonts w:asciiTheme="majorHAnsi" w:eastAsia="Times New Roman" w:hAnsiTheme="majorHAnsi" w:cstheme="majorHAnsi"/>
                <w:sz w:val="20"/>
                <w:szCs w:val="20"/>
              </w:rPr>
              <w:t>S</w:t>
            </w:r>
            <w:r w:rsidRPr="002E0FE4">
              <w:rPr>
                <w:rFonts w:asciiTheme="majorHAnsi" w:eastAsia="Times New Roman" w:hAnsiTheme="majorHAnsi" w:cstheme="majorHAnsi"/>
                <w:sz w:val="20"/>
                <w:szCs w:val="20"/>
              </w:rPr>
              <w:t xml:space="preserve">ea-surface temperatures </w:t>
            </w:r>
            <w:r w:rsidR="005B0BEF" w:rsidRPr="002E0FE4">
              <w:rPr>
                <w:rFonts w:asciiTheme="majorHAnsi" w:eastAsia="Times New Roman" w:hAnsiTheme="majorHAnsi" w:cstheme="majorHAnsi"/>
                <w:sz w:val="20"/>
                <w:szCs w:val="20"/>
              </w:rPr>
              <w:lastRenderedPageBreak/>
              <w:t xml:space="preserve">(SST) during the summer of 2021/2022 </w:t>
            </w:r>
            <w:r w:rsidRPr="002E0FE4">
              <w:rPr>
                <w:rFonts w:asciiTheme="majorHAnsi" w:eastAsia="Times New Roman" w:hAnsiTheme="majorHAnsi" w:cstheme="majorHAnsi"/>
                <w:sz w:val="20"/>
                <w:szCs w:val="20"/>
              </w:rPr>
              <w:t>were around 2 degrees warm</w:t>
            </w:r>
            <w:r w:rsidR="005B0BEF" w:rsidRPr="002E0FE4">
              <w:rPr>
                <w:rFonts w:asciiTheme="majorHAnsi" w:eastAsia="Times New Roman" w:hAnsiTheme="majorHAnsi" w:cstheme="majorHAnsi"/>
                <w:sz w:val="20"/>
                <w:szCs w:val="20"/>
              </w:rPr>
              <w:t>er</w:t>
            </w:r>
            <w:r w:rsidRPr="002E0FE4">
              <w:rPr>
                <w:rFonts w:asciiTheme="majorHAnsi" w:eastAsia="Times New Roman" w:hAnsiTheme="majorHAnsi" w:cstheme="majorHAnsi"/>
                <w:sz w:val="20"/>
                <w:szCs w:val="20"/>
              </w:rPr>
              <w:t xml:space="preserve"> than average for the time of year around much of New Zealand.  New Zealand King Salmon Ltd reported a loss of $78M and attributed much of this to crop-losses arising from heat-stress. Losses of juvenile crop mussels have also been anomalously high in some regions during recent marine heatwave events and some in the industry attribute those losses to heat-stress.</w:t>
            </w:r>
            <w:r w:rsidR="005B0BEF" w:rsidRPr="002E0FE4">
              <w:rPr>
                <w:rFonts w:asciiTheme="majorHAnsi" w:eastAsia="Times New Roman" w:hAnsiTheme="majorHAnsi" w:cstheme="majorHAnsi"/>
                <w:sz w:val="20"/>
                <w:szCs w:val="20"/>
              </w:rPr>
              <w:t xml:space="preserve"> Environmental factors also play a demonstrable role in mussel crop performance. </w:t>
            </w:r>
            <w:r w:rsidRPr="002E0FE4">
              <w:rPr>
                <w:rFonts w:asciiTheme="majorHAnsi" w:eastAsia="Times New Roman" w:hAnsiTheme="majorHAnsi" w:cstheme="majorHAnsi"/>
                <w:sz w:val="20"/>
                <w:szCs w:val="20"/>
              </w:rPr>
              <w:t xml:space="preserve">Mussel crop condition at harvest (loosely, </w:t>
            </w:r>
            <w:proofErr w:type="spellStart"/>
            <w:r w:rsidRPr="002E0FE4">
              <w:rPr>
                <w:rFonts w:asciiTheme="majorHAnsi" w:eastAsia="Times New Roman" w:hAnsiTheme="majorHAnsi" w:cstheme="majorHAnsi"/>
                <w:sz w:val="20"/>
                <w:szCs w:val="20"/>
              </w:rPr>
              <w:t>flesh-</w:t>
            </w:r>
            <w:proofErr w:type="gramStart"/>
            <w:r w:rsidRPr="002E0FE4">
              <w:rPr>
                <w:rFonts w:asciiTheme="majorHAnsi" w:eastAsia="Times New Roman" w:hAnsiTheme="majorHAnsi" w:cstheme="majorHAnsi"/>
                <w:sz w:val="20"/>
                <w:szCs w:val="20"/>
              </w:rPr>
              <w:t>weight:live</w:t>
            </w:r>
            <w:proofErr w:type="spellEnd"/>
            <w:proofErr w:type="gramEnd"/>
            <w:r w:rsidRPr="002E0FE4">
              <w:rPr>
                <w:rFonts w:asciiTheme="majorHAnsi" w:eastAsia="Times New Roman" w:hAnsiTheme="majorHAnsi" w:cstheme="majorHAnsi"/>
                <w:sz w:val="20"/>
                <w:szCs w:val="20"/>
              </w:rPr>
              <w:t xml:space="preserve"> weight) is an important determinant of the crop’s value</w:t>
            </w:r>
            <w:r w:rsidR="005B0BEF" w:rsidRPr="002E0FE4">
              <w:rPr>
                <w:rFonts w:asciiTheme="majorHAnsi" w:eastAsia="Times New Roman" w:hAnsiTheme="majorHAnsi" w:cstheme="majorHAnsi"/>
                <w:sz w:val="20"/>
                <w:szCs w:val="20"/>
              </w:rPr>
              <w:t>. This varies from year to year, creating a financial risk for farmers</w:t>
            </w:r>
            <w:r w:rsidRPr="002E0FE4">
              <w:rPr>
                <w:rFonts w:asciiTheme="majorHAnsi" w:eastAsia="Times New Roman" w:hAnsiTheme="majorHAnsi" w:cstheme="majorHAnsi"/>
                <w:sz w:val="20"/>
                <w:szCs w:val="20"/>
              </w:rPr>
              <w:t>.</w:t>
            </w:r>
            <w:r w:rsidR="00E90DB0" w:rsidRPr="002E0FE4">
              <w:rPr>
                <w:rFonts w:asciiTheme="majorHAnsi" w:eastAsia="Times New Roman" w:hAnsiTheme="majorHAnsi" w:cstheme="majorHAnsi"/>
                <w:sz w:val="20"/>
                <w:szCs w:val="20"/>
              </w:rPr>
              <w:t xml:space="preserve"> The aquaculture industry requires forecasts of environmental drivers of crop performance on time-scales adequate for management interventions to be implemented (at least 3-6 months).</w:t>
            </w:r>
          </w:p>
          <w:p w14:paraId="4ABB1024" w14:textId="77777777" w:rsidR="009B189C" w:rsidRPr="002E0FE4" w:rsidRDefault="009B189C" w:rsidP="009B189C">
            <w:p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 xml:space="preserve"> </w:t>
            </w:r>
          </w:p>
          <w:p w14:paraId="05671849" w14:textId="04D6B09B" w:rsidR="009B189C" w:rsidRPr="002E0FE4" w:rsidRDefault="009B189C" w:rsidP="009B189C">
            <w:p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 xml:space="preserve">During the 2021/22 FY, NIWA developed tools to forecast </w:t>
            </w:r>
            <w:r w:rsidR="005B0BEF" w:rsidRPr="002E0FE4">
              <w:rPr>
                <w:rFonts w:asciiTheme="majorHAnsi" w:eastAsia="Times New Roman" w:hAnsiTheme="majorHAnsi" w:cstheme="majorHAnsi"/>
                <w:sz w:val="20"/>
                <w:szCs w:val="20"/>
              </w:rPr>
              <w:t>SST</w:t>
            </w:r>
            <w:r w:rsidRPr="002E0FE4">
              <w:rPr>
                <w:rFonts w:asciiTheme="majorHAnsi" w:eastAsia="Times New Roman" w:hAnsiTheme="majorHAnsi" w:cstheme="majorHAnsi"/>
                <w:sz w:val="20"/>
                <w:szCs w:val="20"/>
              </w:rPr>
              <w:t xml:space="preserve"> and mussel condition on seasonal </w:t>
            </w:r>
            <w:r w:rsidR="00E90DB0" w:rsidRPr="002E0FE4">
              <w:rPr>
                <w:rFonts w:asciiTheme="majorHAnsi" w:eastAsia="Times New Roman" w:hAnsiTheme="majorHAnsi" w:cstheme="majorHAnsi"/>
                <w:sz w:val="20"/>
                <w:szCs w:val="20"/>
              </w:rPr>
              <w:t>timescales</w:t>
            </w:r>
            <w:r w:rsidRPr="002E0FE4">
              <w:rPr>
                <w:rFonts w:asciiTheme="majorHAnsi" w:eastAsia="Times New Roman" w:hAnsiTheme="majorHAnsi" w:cstheme="majorHAnsi"/>
                <w:sz w:val="20"/>
                <w:szCs w:val="20"/>
              </w:rPr>
              <w:t>. The SST forecasts derive from models that have approx. 1</w:t>
            </w:r>
            <w:r w:rsidRPr="002E0FE4">
              <w:rPr>
                <w:rFonts w:asciiTheme="majorHAnsi" w:eastAsia="Symbol" w:hAnsiTheme="majorHAnsi" w:cstheme="majorHAnsi"/>
                <w:sz w:val="20"/>
                <w:szCs w:val="20"/>
              </w:rPr>
              <w:t>°</w:t>
            </w:r>
            <w:r w:rsidRPr="002E0FE4">
              <w:rPr>
                <w:rFonts w:asciiTheme="majorHAnsi" w:eastAsia="Times New Roman" w:hAnsiTheme="majorHAnsi" w:cstheme="majorHAnsi"/>
                <w:sz w:val="20"/>
                <w:szCs w:val="20"/>
              </w:rPr>
              <w:t>x1</w:t>
            </w:r>
            <w:r w:rsidRPr="002E0FE4">
              <w:rPr>
                <w:rFonts w:asciiTheme="majorHAnsi" w:eastAsia="Symbol" w:hAnsiTheme="majorHAnsi" w:cstheme="majorHAnsi"/>
                <w:sz w:val="20"/>
                <w:szCs w:val="20"/>
              </w:rPr>
              <w:t>°</w:t>
            </w:r>
            <w:r w:rsidRPr="002E0FE4">
              <w:rPr>
                <w:rFonts w:asciiTheme="majorHAnsi" w:eastAsia="Times New Roman" w:hAnsiTheme="majorHAnsi" w:cstheme="majorHAnsi"/>
                <w:sz w:val="20"/>
                <w:szCs w:val="20"/>
              </w:rPr>
              <w:t xml:space="preserve"> spatial resolution. The condition forecasts apply to mussels in Pelorus Sound. We are delivering these to industry via the NIWA </w:t>
            </w:r>
            <w:r w:rsidR="00E90DB0" w:rsidRPr="002E0FE4">
              <w:rPr>
                <w:rFonts w:asciiTheme="majorHAnsi" w:eastAsia="Times New Roman" w:hAnsiTheme="majorHAnsi" w:cstheme="majorHAnsi"/>
                <w:sz w:val="20"/>
                <w:szCs w:val="20"/>
              </w:rPr>
              <w:t>website</w:t>
            </w:r>
            <w:r w:rsidRPr="002E0FE4">
              <w:rPr>
                <w:rFonts w:asciiTheme="majorHAnsi" w:eastAsia="Times New Roman" w:hAnsiTheme="majorHAnsi" w:cstheme="majorHAnsi"/>
                <w:sz w:val="20"/>
                <w:szCs w:val="20"/>
              </w:rPr>
              <w:t xml:space="preserve">, but the analyses that underpin the forecasts are neither fully complete nor formally documented.  </w:t>
            </w:r>
          </w:p>
          <w:p w14:paraId="5F1B6EE0" w14:textId="77777777" w:rsidR="009B189C" w:rsidRPr="002E0FE4" w:rsidRDefault="009B189C" w:rsidP="009B189C">
            <w:pPr>
              <w:rPr>
                <w:rFonts w:asciiTheme="majorHAnsi" w:eastAsia="Times New Roman" w:hAnsiTheme="majorHAnsi" w:cstheme="majorHAnsi"/>
                <w:sz w:val="20"/>
                <w:szCs w:val="20"/>
              </w:rPr>
            </w:pPr>
          </w:p>
          <w:p w14:paraId="3A7976B8" w14:textId="77777777" w:rsidR="009B189C" w:rsidRPr="002E0FE4" w:rsidRDefault="009B189C" w:rsidP="009B189C">
            <w:p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This project aims to:</w:t>
            </w:r>
          </w:p>
          <w:p w14:paraId="5280A2F2" w14:textId="77777777" w:rsidR="009B189C" w:rsidRPr="002E0FE4" w:rsidRDefault="009B189C" w:rsidP="009B189C">
            <w:pPr>
              <w:pStyle w:val="ListParagraph"/>
              <w:numPr>
                <w:ilvl w:val="0"/>
                <w:numId w:val="24"/>
              </w:num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Iteratively refine our comparison of past forecast SST data and past observations of SST with a view to further improving the quality of our future forecasts for offshore waters adjacent to marine-farming zones</w:t>
            </w:r>
          </w:p>
          <w:p w14:paraId="38CAE3FE" w14:textId="3B41ED25" w:rsidR="009B189C" w:rsidRPr="002E0FE4" w:rsidRDefault="009B189C" w:rsidP="009B189C">
            <w:pPr>
              <w:pStyle w:val="ListParagraph"/>
              <w:numPr>
                <w:ilvl w:val="0"/>
                <w:numId w:val="24"/>
              </w:num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Complete, and formally document the methods and analyses that underlie the forecasts</w:t>
            </w:r>
          </w:p>
          <w:p w14:paraId="3390A760" w14:textId="5A284DCF" w:rsidR="00E90DB0" w:rsidRPr="002E0FE4" w:rsidRDefault="00E90DB0" w:rsidP="002C72D5">
            <w:pPr>
              <w:pStyle w:val="ListParagraph"/>
              <w:numPr>
                <w:ilvl w:val="0"/>
                <w:numId w:val="24"/>
              </w:num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Provide regularly updated seasonal forecasts of SST and mussel condition</w:t>
            </w:r>
            <w:r w:rsidR="0024387A" w:rsidRPr="002E0FE4">
              <w:rPr>
                <w:rFonts w:asciiTheme="majorHAnsi" w:eastAsia="Times New Roman" w:hAnsiTheme="majorHAnsi" w:cstheme="majorHAnsi"/>
                <w:sz w:val="20"/>
                <w:szCs w:val="20"/>
              </w:rPr>
              <w:t xml:space="preserve"> to the aquaculture industry (and other interested parties) via NIWA website</w:t>
            </w:r>
          </w:p>
          <w:p w14:paraId="1B858C02" w14:textId="17C8B3CC" w:rsidR="009B189C" w:rsidRPr="002E0FE4" w:rsidRDefault="009B189C" w:rsidP="002C72D5">
            <w:pPr>
              <w:pStyle w:val="ListParagraph"/>
              <w:numPr>
                <w:ilvl w:val="0"/>
                <w:numId w:val="24"/>
              </w:numPr>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 xml:space="preserve">Deploy a set of temperature loggers in marine farms in the Marlborough Sounds region to </w:t>
            </w:r>
            <w:r w:rsidR="00E90DB0" w:rsidRPr="002E0FE4">
              <w:rPr>
                <w:rFonts w:asciiTheme="majorHAnsi" w:eastAsia="Times New Roman" w:hAnsiTheme="majorHAnsi" w:cstheme="majorHAnsi"/>
                <w:sz w:val="20"/>
                <w:szCs w:val="20"/>
              </w:rPr>
              <w:t>collect</w:t>
            </w:r>
            <w:r w:rsidRPr="002E0FE4">
              <w:rPr>
                <w:rFonts w:asciiTheme="majorHAnsi" w:eastAsia="Times New Roman" w:hAnsiTheme="majorHAnsi" w:cstheme="majorHAnsi"/>
                <w:sz w:val="20"/>
                <w:szCs w:val="20"/>
              </w:rPr>
              <w:t xml:space="preserve"> temperature data </w:t>
            </w:r>
            <w:r w:rsidR="00E90DB0" w:rsidRPr="002E0FE4">
              <w:rPr>
                <w:rFonts w:asciiTheme="majorHAnsi" w:eastAsia="Times New Roman" w:hAnsiTheme="majorHAnsi" w:cstheme="majorHAnsi"/>
                <w:sz w:val="20"/>
                <w:szCs w:val="20"/>
              </w:rPr>
              <w:t xml:space="preserve">that will </w:t>
            </w:r>
            <w:r w:rsidRPr="002E0FE4">
              <w:rPr>
                <w:rFonts w:asciiTheme="majorHAnsi" w:eastAsia="Times New Roman" w:hAnsiTheme="majorHAnsi" w:cstheme="majorHAnsi"/>
                <w:sz w:val="20"/>
                <w:szCs w:val="20"/>
              </w:rPr>
              <w:t xml:space="preserve">enable us </w:t>
            </w:r>
            <w:r w:rsidR="00E90DB0" w:rsidRPr="002E0FE4">
              <w:rPr>
                <w:rFonts w:asciiTheme="majorHAnsi" w:eastAsia="Times New Roman" w:hAnsiTheme="majorHAnsi" w:cstheme="majorHAnsi"/>
                <w:sz w:val="20"/>
                <w:szCs w:val="20"/>
              </w:rPr>
              <w:t xml:space="preserve">to </w:t>
            </w:r>
            <w:r w:rsidRPr="002E0FE4">
              <w:rPr>
                <w:rFonts w:asciiTheme="majorHAnsi" w:eastAsia="Times New Roman" w:hAnsiTheme="majorHAnsi" w:cstheme="majorHAnsi"/>
                <w:sz w:val="20"/>
                <w:szCs w:val="20"/>
              </w:rPr>
              <w:t>better extrapolate from forecasts of SST in the Cook Strait region into the sheltered inshore waters where most marine farms of the Marlborough region are found</w:t>
            </w:r>
            <w:r w:rsidR="00E90DB0" w:rsidRPr="002E0FE4">
              <w:rPr>
                <w:rFonts w:asciiTheme="majorHAnsi" w:eastAsia="Times New Roman" w:hAnsiTheme="majorHAnsi" w:cstheme="majorHAnsi"/>
                <w:sz w:val="20"/>
                <w:szCs w:val="20"/>
              </w:rPr>
              <w:t xml:space="preserve"> (i.e. downscale SST forecasts).</w:t>
            </w:r>
          </w:p>
          <w:p w14:paraId="1D771E86" w14:textId="77777777" w:rsidR="00D9601C" w:rsidRPr="002E0FE4" w:rsidRDefault="00D9601C" w:rsidP="00A12DDA">
            <w:pPr>
              <w:ind w:left="31"/>
              <w:rPr>
                <w:rFonts w:asciiTheme="majorHAnsi" w:eastAsia="Times New Roman" w:hAnsiTheme="majorHAnsi" w:cstheme="majorHAnsi"/>
                <w:sz w:val="20"/>
                <w:szCs w:val="20"/>
              </w:rPr>
            </w:pPr>
          </w:p>
          <w:p w14:paraId="2E7C975F" w14:textId="24E0D308" w:rsidR="00CD7BF7" w:rsidRPr="002E0FE4" w:rsidRDefault="00CD7BF7" w:rsidP="00A12DDA">
            <w:pPr>
              <w:ind w:left="31"/>
              <w:rPr>
                <w:rFonts w:asciiTheme="majorHAnsi" w:eastAsia="Times New Roman" w:hAnsiTheme="majorHAnsi" w:cstheme="majorHAnsi"/>
                <w:sz w:val="20"/>
                <w:szCs w:val="20"/>
              </w:rPr>
            </w:pPr>
            <w:r w:rsidRPr="002E0FE4">
              <w:rPr>
                <w:rFonts w:asciiTheme="majorHAnsi" w:eastAsia="Times New Roman" w:hAnsiTheme="majorHAnsi" w:cstheme="majorHAnsi"/>
                <w:sz w:val="20"/>
                <w:szCs w:val="20"/>
              </w:rPr>
              <w:t xml:space="preserve">Whilst this project focusses on forecasting temperature and mussel condition on </w:t>
            </w:r>
            <w:proofErr w:type="gramStart"/>
            <w:r w:rsidRPr="002E0FE4">
              <w:rPr>
                <w:rFonts w:asciiTheme="majorHAnsi" w:eastAsia="Times New Roman" w:hAnsiTheme="majorHAnsi" w:cstheme="majorHAnsi"/>
                <w:sz w:val="20"/>
                <w:szCs w:val="20"/>
              </w:rPr>
              <w:t>seasonal-scales</w:t>
            </w:r>
            <w:proofErr w:type="gramEnd"/>
            <w:r w:rsidRPr="002E0FE4">
              <w:rPr>
                <w:rFonts w:asciiTheme="majorHAnsi" w:eastAsia="Times New Roman" w:hAnsiTheme="majorHAnsi" w:cstheme="majorHAnsi"/>
                <w:sz w:val="20"/>
                <w:szCs w:val="20"/>
              </w:rPr>
              <w:t xml:space="preserve">, it may also have relevance to </w:t>
            </w:r>
            <w:r w:rsidR="00413EC9" w:rsidRPr="002E0FE4">
              <w:rPr>
                <w:rFonts w:asciiTheme="majorHAnsi" w:eastAsia="Times New Roman" w:hAnsiTheme="majorHAnsi" w:cstheme="majorHAnsi"/>
                <w:sz w:val="20"/>
                <w:szCs w:val="20"/>
              </w:rPr>
              <w:t xml:space="preserve">disease and pest forecasting if the likelihood or prevalence of either </w:t>
            </w:r>
            <w:r w:rsidR="00357580" w:rsidRPr="002E0FE4">
              <w:rPr>
                <w:rFonts w:asciiTheme="majorHAnsi" w:eastAsia="Times New Roman" w:hAnsiTheme="majorHAnsi" w:cstheme="majorHAnsi"/>
                <w:sz w:val="20"/>
                <w:szCs w:val="20"/>
              </w:rPr>
              <w:t>were to prove to be correlated with temperature or crop nutritional status.</w:t>
            </w:r>
          </w:p>
        </w:tc>
      </w:tr>
    </w:tbl>
    <w:p w14:paraId="1D188028" w14:textId="77777777" w:rsidR="00D9601C" w:rsidRPr="002E0FE4" w:rsidRDefault="00D9601C" w:rsidP="00D9601C">
      <w:pPr>
        <w:rPr>
          <w:rFonts w:asciiTheme="majorHAnsi" w:hAnsiTheme="majorHAnsi" w:cstheme="majorHAnsi"/>
        </w:rPr>
      </w:pPr>
    </w:p>
    <w:tbl>
      <w:tblPr>
        <w:tblW w:w="5000" w:type="pct"/>
        <w:tblBorders>
          <w:top w:val="single" w:sz="24" w:space="0" w:color="1F4E79" w:themeColor="accent1" w:themeShade="80"/>
          <w:left w:val="single" w:sz="6" w:space="0" w:color="CCCCCC"/>
          <w:bottom w:val="single" w:sz="24" w:space="0" w:color="1F4E79" w:themeColor="accent1" w:themeShade="80"/>
          <w:right w:val="single" w:sz="6" w:space="0" w:color="CCCCCC"/>
          <w:insideH w:val="single" w:sz="2" w:space="0" w:color="A6A6A6" w:themeColor="background1" w:themeShade="A6"/>
          <w:insideV w:val="single" w:sz="6" w:space="0" w:color="CCCCCC"/>
        </w:tblBorders>
        <w:shd w:val="clear" w:color="auto" w:fill="FFFFFF"/>
        <w:tblCellMar>
          <w:left w:w="0" w:type="dxa"/>
          <w:right w:w="0" w:type="dxa"/>
        </w:tblCellMar>
        <w:tblLook w:val="04A0" w:firstRow="1" w:lastRow="0" w:firstColumn="1" w:lastColumn="0" w:noHBand="0" w:noVBand="1"/>
      </w:tblPr>
      <w:tblGrid>
        <w:gridCol w:w="10450"/>
      </w:tblGrid>
      <w:tr w:rsidR="00571BD6" w:rsidRPr="002E0FE4" w14:paraId="4DC5074F" w14:textId="77777777" w:rsidTr="0038568B">
        <w:tc>
          <w:tcPr>
            <w:tcW w:w="5000" w:type="pct"/>
            <w:tcBorders>
              <w:bottom w:val="single" w:sz="2" w:space="0" w:color="A6A6A6" w:themeColor="background1" w:themeShade="A6"/>
            </w:tcBorders>
            <w:shd w:val="clear" w:color="auto" w:fill="auto"/>
            <w:tcMar>
              <w:top w:w="30" w:type="dxa"/>
              <w:left w:w="30" w:type="dxa"/>
              <w:bottom w:w="30" w:type="dxa"/>
              <w:right w:w="30" w:type="dxa"/>
            </w:tcMar>
          </w:tcPr>
          <w:p w14:paraId="30BFEBC7" w14:textId="0AFDF5E8" w:rsidR="00571BD6" w:rsidRPr="002E0FE4" w:rsidRDefault="00571BD6" w:rsidP="00AA1A29">
            <w:pPr>
              <w:ind w:left="31"/>
              <w:rPr>
                <w:rFonts w:asciiTheme="majorHAnsi" w:eastAsia="Times New Roman" w:hAnsiTheme="majorHAnsi" w:cstheme="majorHAnsi"/>
                <w:bCs/>
                <w:i/>
                <w:iCs/>
                <w:color w:val="002060"/>
                <w:szCs w:val="22"/>
              </w:rPr>
            </w:pPr>
            <w:r w:rsidRPr="002E0FE4">
              <w:rPr>
                <w:rFonts w:asciiTheme="majorHAnsi" w:eastAsia="Times New Roman" w:hAnsiTheme="majorHAnsi" w:cstheme="majorHAnsi"/>
                <w:bCs/>
                <w:i/>
                <w:iCs/>
                <w:color w:val="002060"/>
                <w:szCs w:val="22"/>
              </w:rPr>
              <w:t>Objective</w:t>
            </w:r>
            <w:r w:rsidR="001C36C9" w:rsidRPr="002E0FE4">
              <w:rPr>
                <w:rFonts w:asciiTheme="majorHAnsi" w:eastAsia="Times New Roman" w:hAnsiTheme="majorHAnsi" w:cstheme="majorHAnsi"/>
                <w:bCs/>
                <w:i/>
                <w:iCs/>
                <w:color w:val="002060"/>
                <w:szCs w:val="22"/>
              </w:rPr>
              <w:t>—</w:t>
            </w:r>
            <w:r w:rsidR="008E143D" w:rsidRPr="002E0FE4">
              <w:rPr>
                <w:rFonts w:asciiTheme="majorHAnsi" w:eastAsia="Times New Roman" w:hAnsiTheme="majorHAnsi" w:cstheme="majorHAnsi"/>
                <w:bCs/>
                <w:i/>
                <w:iCs/>
                <w:color w:val="002060"/>
                <w:szCs w:val="22"/>
              </w:rPr>
              <w:t>What</w:t>
            </w:r>
            <w:r w:rsidR="00374230" w:rsidRPr="002E0FE4">
              <w:rPr>
                <w:rFonts w:asciiTheme="majorHAnsi" w:eastAsia="Times New Roman" w:hAnsiTheme="majorHAnsi" w:cstheme="majorHAnsi"/>
                <w:bCs/>
                <w:i/>
                <w:iCs/>
                <w:color w:val="002060"/>
                <w:szCs w:val="22"/>
              </w:rPr>
              <w:t xml:space="preserve"> science advances </w:t>
            </w:r>
            <w:r w:rsidR="008E143D" w:rsidRPr="002E0FE4">
              <w:rPr>
                <w:rFonts w:asciiTheme="majorHAnsi" w:eastAsia="Times New Roman" w:hAnsiTheme="majorHAnsi" w:cstheme="majorHAnsi"/>
                <w:bCs/>
                <w:i/>
                <w:iCs/>
                <w:color w:val="002060"/>
                <w:szCs w:val="22"/>
              </w:rPr>
              <w:t xml:space="preserve">will </w:t>
            </w:r>
            <w:r w:rsidR="008F0878" w:rsidRPr="002E0FE4">
              <w:rPr>
                <w:rFonts w:asciiTheme="majorHAnsi" w:eastAsia="Times New Roman" w:hAnsiTheme="majorHAnsi" w:cstheme="majorHAnsi"/>
                <w:bCs/>
                <w:i/>
                <w:iCs/>
                <w:color w:val="002060"/>
                <w:szCs w:val="22"/>
              </w:rPr>
              <w:t xml:space="preserve">be </w:t>
            </w:r>
            <w:r w:rsidR="008E143D" w:rsidRPr="002E0FE4">
              <w:rPr>
                <w:rFonts w:asciiTheme="majorHAnsi" w:eastAsia="Times New Roman" w:hAnsiTheme="majorHAnsi" w:cstheme="majorHAnsi"/>
                <w:bCs/>
                <w:i/>
                <w:iCs/>
                <w:color w:val="002060"/>
                <w:szCs w:val="22"/>
              </w:rPr>
              <w:t>achieve</w:t>
            </w:r>
            <w:r w:rsidR="008F0878" w:rsidRPr="002E0FE4">
              <w:rPr>
                <w:rFonts w:asciiTheme="majorHAnsi" w:eastAsia="Times New Roman" w:hAnsiTheme="majorHAnsi" w:cstheme="majorHAnsi"/>
                <w:bCs/>
                <w:i/>
                <w:iCs/>
                <w:color w:val="002060"/>
                <w:szCs w:val="22"/>
              </w:rPr>
              <w:t>d</w:t>
            </w:r>
            <w:r w:rsidR="006424C3" w:rsidRPr="002E0FE4">
              <w:rPr>
                <w:rFonts w:asciiTheme="majorHAnsi" w:eastAsia="Times New Roman" w:hAnsiTheme="majorHAnsi" w:cstheme="majorHAnsi"/>
                <w:bCs/>
                <w:i/>
                <w:iCs/>
                <w:color w:val="002060"/>
                <w:szCs w:val="22"/>
              </w:rPr>
              <w:t xml:space="preserve"> this year</w:t>
            </w:r>
            <w:r w:rsidR="008E143D" w:rsidRPr="002E0FE4">
              <w:rPr>
                <w:rFonts w:asciiTheme="majorHAnsi" w:eastAsia="Times New Roman" w:hAnsiTheme="majorHAnsi" w:cstheme="majorHAnsi"/>
                <w:bCs/>
                <w:i/>
                <w:iCs/>
                <w:color w:val="002060"/>
                <w:szCs w:val="22"/>
              </w:rPr>
              <w:t xml:space="preserve">? </w:t>
            </w:r>
          </w:p>
        </w:tc>
      </w:tr>
      <w:tr w:rsidR="00571BD6" w:rsidRPr="002E0FE4" w14:paraId="5E60499D" w14:textId="77777777" w:rsidTr="008E143D">
        <w:tc>
          <w:tcPr>
            <w:tcW w:w="5000" w:type="pct"/>
            <w:shd w:val="clear" w:color="auto" w:fill="auto"/>
            <w:tcMar>
              <w:top w:w="30" w:type="dxa"/>
              <w:left w:w="30" w:type="dxa"/>
              <w:bottom w:w="30" w:type="dxa"/>
              <w:right w:w="30" w:type="dxa"/>
            </w:tcMar>
          </w:tcPr>
          <w:p w14:paraId="2A0E047F" w14:textId="182DA71D" w:rsidR="005B4362" w:rsidRPr="002E0FE4" w:rsidRDefault="00E90DB0" w:rsidP="005B4362">
            <w:pPr>
              <w:rPr>
                <w:rFonts w:asciiTheme="majorHAnsi" w:eastAsia="Times New Roman" w:hAnsiTheme="majorHAnsi" w:cstheme="majorHAnsi"/>
              </w:rPr>
            </w:pPr>
            <w:r w:rsidRPr="002E0FE4">
              <w:rPr>
                <w:rFonts w:asciiTheme="majorHAnsi" w:eastAsia="Times New Roman" w:hAnsiTheme="majorHAnsi" w:cstheme="majorHAnsi"/>
              </w:rPr>
              <w:t>To e</w:t>
            </w:r>
            <w:r w:rsidR="009B189C" w:rsidRPr="002E0FE4">
              <w:rPr>
                <w:rFonts w:asciiTheme="majorHAnsi" w:eastAsia="Times New Roman" w:hAnsiTheme="majorHAnsi" w:cstheme="majorHAnsi"/>
              </w:rPr>
              <w:t xml:space="preserve">nable the marine farming industry </w:t>
            </w:r>
            <w:proofErr w:type="gramStart"/>
            <w:r w:rsidR="009B189C" w:rsidRPr="002E0FE4">
              <w:rPr>
                <w:rFonts w:asciiTheme="majorHAnsi" w:eastAsia="Times New Roman" w:hAnsiTheme="majorHAnsi" w:cstheme="majorHAnsi"/>
              </w:rPr>
              <w:t>mitigate</w:t>
            </w:r>
            <w:proofErr w:type="gramEnd"/>
            <w:r w:rsidR="009B189C" w:rsidRPr="002E0FE4">
              <w:rPr>
                <w:rFonts w:asciiTheme="majorHAnsi" w:eastAsia="Times New Roman" w:hAnsiTheme="majorHAnsi" w:cstheme="majorHAnsi"/>
              </w:rPr>
              <w:t xml:space="preserve"> the risks that environmental fluctuations present to financial performance by delivering fully documented and iteratively improved seasonal-scale forecasts of: </w:t>
            </w:r>
          </w:p>
          <w:p w14:paraId="273375DF" w14:textId="6F6ACA09" w:rsidR="005B4362" w:rsidRPr="002E0FE4" w:rsidRDefault="009B189C" w:rsidP="005B4362">
            <w:pPr>
              <w:pStyle w:val="ListParagraph"/>
              <w:numPr>
                <w:ilvl w:val="0"/>
                <w:numId w:val="28"/>
              </w:numPr>
              <w:rPr>
                <w:rFonts w:asciiTheme="majorHAnsi" w:eastAsia="Times New Roman" w:hAnsiTheme="majorHAnsi" w:cstheme="majorHAnsi"/>
              </w:rPr>
            </w:pPr>
            <w:r w:rsidRPr="002E0FE4">
              <w:rPr>
                <w:rFonts w:asciiTheme="majorHAnsi" w:eastAsia="Times New Roman" w:hAnsiTheme="majorHAnsi" w:cstheme="majorHAnsi"/>
              </w:rPr>
              <w:t>sea-surface temperature for oceanic-waters adjacent to NZ marine farming regions</w:t>
            </w:r>
            <w:r w:rsidR="005B4362" w:rsidRPr="002E0FE4">
              <w:rPr>
                <w:rFonts w:asciiTheme="majorHAnsi" w:eastAsia="Times New Roman" w:hAnsiTheme="majorHAnsi" w:cstheme="majorHAnsi"/>
              </w:rPr>
              <w:t>,</w:t>
            </w:r>
            <w:r w:rsidRPr="002E0FE4">
              <w:rPr>
                <w:rFonts w:asciiTheme="majorHAnsi" w:eastAsia="Times New Roman" w:hAnsiTheme="majorHAnsi" w:cstheme="majorHAnsi"/>
              </w:rPr>
              <w:t xml:space="preserve"> and</w:t>
            </w:r>
          </w:p>
          <w:p w14:paraId="292EF847" w14:textId="7EC6D9D7" w:rsidR="009B189C" w:rsidRPr="002E0FE4" w:rsidRDefault="009B189C" w:rsidP="005B4362">
            <w:pPr>
              <w:pStyle w:val="ListParagraph"/>
              <w:numPr>
                <w:ilvl w:val="0"/>
                <w:numId w:val="28"/>
              </w:numPr>
              <w:rPr>
                <w:rFonts w:asciiTheme="majorHAnsi" w:eastAsia="Times New Roman" w:hAnsiTheme="majorHAnsi" w:cstheme="majorHAnsi"/>
              </w:rPr>
            </w:pPr>
            <w:r w:rsidRPr="002E0FE4">
              <w:rPr>
                <w:rFonts w:asciiTheme="majorHAnsi" w:eastAsia="Times New Roman" w:hAnsiTheme="majorHAnsi" w:cstheme="majorHAnsi"/>
              </w:rPr>
              <w:t>mussel condition (at harvest) for Pelorus Sound.</w:t>
            </w:r>
          </w:p>
          <w:p w14:paraId="044964AC" w14:textId="77777777" w:rsidR="009B189C" w:rsidRPr="002E0FE4" w:rsidRDefault="009B189C" w:rsidP="00BB1364">
            <w:pPr>
              <w:ind w:left="31"/>
              <w:rPr>
                <w:rFonts w:asciiTheme="majorHAnsi" w:eastAsia="Times New Roman" w:hAnsiTheme="majorHAnsi" w:cstheme="majorHAnsi"/>
                <w:sz w:val="20"/>
                <w:szCs w:val="20"/>
              </w:rPr>
            </w:pPr>
          </w:p>
          <w:p w14:paraId="5401A693" w14:textId="3114C153" w:rsidR="009B189C" w:rsidRPr="002E0FE4" w:rsidRDefault="009B189C" w:rsidP="00BB1364">
            <w:pPr>
              <w:ind w:left="31"/>
              <w:rPr>
                <w:rFonts w:asciiTheme="majorHAnsi" w:eastAsia="Times New Roman" w:hAnsiTheme="majorHAnsi" w:cstheme="majorHAnsi"/>
                <w:sz w:val="20"/>
                <w:szCs w:val="20"/>
              </w:rPr>
            </w:pPr>
          </w:p>
        </w:tc>
      </w:tr>
    </w:tbl>
    <w:p w14:paraId="69A9B02B" w14:textId="74828150" w:rsidR="00571BD6" w:rsidRPr="002E0FE4" w:rsidRDefault="00571BD6">
      <w:pPr>
        <w:rPr>
          <w:rFonts w:asciiTheme="majorHAnsi" w:hAnsiTheme="majorHAnsi" w:cstheme="majorHAnsi"/>
        </w:rPr>
      </w:pPr>
    </w:p>
    <w:tbl>
      <w:tblPr>
        <w:tblW w:w="4993" w:type="pct"/>
        <w:tblBorders>
          <w:top w:val="single" w:sz="24" w:space="0" w:color="1F4E79" w:themeColor="accent1" w:themeShade="80"/>
          <w:left w:val="single" w:sz="6" w:space="0" w:color="CCCCCC"/>
          <w:bottom w:val="single" w:sz="24" w:space="0" w:color="1F4E79" w:themeColor="accent1" w:themeShade="80"/>
          <w:right w:val="single" w:sz="6" w:space="0" w:color="CCCCCC"/>
          <w:insideH w:val="single" w:sz="2" w:space="0" w:color="A6A6A6" w:themeColor="background1" w:themeShade="A6"/>
          <w:insideV w:val="single" w:sz="6" w:space="0" w:color="CCCCCC"/>
        </w:tblBorders>
        <w:shd w:val="clear" w:color="auto" w:fill="FFFFFF"/>
        <w:tblCellMar>
          <w:left w:w="0" w:type="dxa"/>
          <w:right w:w="0" w:type="dxa"/>
        </w:tblCellMar>
        <w:tblLook w:val="04A0" w:firstRow="1" w:lastRow="0" w:firstColumn="1" w:lastColumn="0" w:noHBand="0" w:noVBand="1"/>
      </w:tblPr>
      <w:tblGrid>
        <w:gridCol w:w="10435"/>
      </w:tblGrid>
      <w:tr w:rsidR="00556718" w:rsidRPr="002E0FE4" w14:paraId="7D494F83" w14:textId="77777777" w:rsidTr="0038568B">
        <w:tc>
          <w:tcPr>
            <w:tcW w:w="5000" w:type="pct"/>
            <w:tcBorders>
              <w:top w:val="single" w:sz="24" w:space="0" w:color="1F4E79" w:themeColor="accent1" w:themeShade="80"/>
              <w:left w:val="single" w:sz="6" w:space="0" w:color="CCCCCC"/>
              <w:bottom w:val="single" w:sz="2" w:space="0" w:color="A6A6A6" w:themeColor="background1" w:themeShade="A6"/>
              <w:right w:val="single" w:sz="6" w:space="0" w:color="CCCCCC"/>
            </w:tcBorders>
            <w:shd w:val="clear" w:color="auto" w:fill="auto"/>
            <w:tcMar>
              <w:top w:w="30" w:type="dxa"/>
              <w:left w:w="30" w:type="dxa"/>
              <w:bottom w:w="30" w:type="dxa"/>
              <w:right w:w="30" w:type="dxa"/>
            </w:tcMar>
          </w:tcPr>
          <w:p w14:paraId="62449D09" w14:textId="624052ED" w:rsidR="004C1EAC" w:rsidRPr="002E0FE4" w:rsidRDefault="00556718" w:rsidP="002E0FE4">
            <w:pPr>
              <w:ind w:left="31"/>
              <w:rPr>
                <w:rFonts w:asciiTheme="majorHAnsi" w:eastAsia="Times New Roman" w:hAnsiTheme="majorHAnsi" w:cstheme="majorHAnsi"/>
                <w:bCs/>
                <w:i/>
                <w:iCs/>
                <w:color w:val="002060"/>
                <w:szCs w:val="22"/>
              </w:rPr>
            </w:pPr>
            <w:r w:rsidRPr="002E0FE4">
              <w:rPr>
                <w:rFonts w:asciiTheme="majorHAnsi" w:eastAsia="Times New Roman" w:hAnsiTheme="majorHAnsi" w:cstheme="majorHAnsi"/>
                <w:bCs/>
                <w:i/>
                <w:iCs/>
                <w:color w:val="002060"/>
                <w:szCs w:val="22"/>
              </w:rPr>
              <w:t>Work programme—</w:t>
            </w:r>
            <w:r w:rsidR="00BA6FCA" w:rsidRPr="002E0FE4">
              <w:rPr>
                <w:rFonts w:asciiTheme="majorHAnsi" w:eastAsia="Times New Roman" w:hAnsiTheme="majorHAnsi" w:cstheme="majorHAnsi"/>
                <w:bCs/>
                <w:i/>
                <w:iCs/>
                <w:color w:val="002060"/>
                <w:szCs w:val="22"/>
              </w:rPr>
              <w:t>What activities</w:t>
            </w:r>
            <w:r w:rsidRPr="002E0FE4">
              <w:rPr>
                <w:rFonts w:asciiTheme="majorHAnsi" w:eastAsia="Times New Roman" w:hAnsiTheme="majorHAnsi" w:cstheme="majorHAnsi"/>
                <w:bCs/>
                <w:i/>
                <w:iCs/>
                <w:color w:val="002060"/>
                <w:szCs w:val="22"/>
              </w:rPr>
              <w:t xml:space="preserve"> </w:t>
            </w:r>
            <w:r w:rsidR="00BA6FCA" w:rsidRPr="002E0FE4">
              <w:rPr>
                <w:rFonts w:asciiTheme="majorHAnsi" w:eastAsia="Times New Roman" w:hAnsiTheme="majorHAnsi" w:cstheme="majorHAnsi"/>
                <w:bCs/>
                <w:i/>
                <w:iCs/>
                <w:color w:val="002060"/>
                <w:szCs w:val="22"/>
              </w:rPr>
              <w:t>will be</w:t>
            </w:r>
            <w:r w:rsidRPr="002E0FE4">
              <w:rPr>
                <w:rFonts w:asciiTheme="majorHAnsi" w:eastAsia="Times New Roman" w:hAnsiTheme="majorHAnsi" w:cstheme="majorHAnsi"/>
                <w:bCs/>
                <w:i/>
                <w:iCs/>
                <w:color w:val="002060"/>
                <w:szCs w:val="22"/>
              </w:rPr>
              <w:t xml:space="preserve"> done</w:t>
            </w:r>
            <w:r w:rsidR="00BA6FCA" w:rsidRPr="002E0FE4">
              <w:rPr>
                <w:rFonts w:asciiTheme="majorHAnsi" w:eastAsia="Times New Roman" w:hAnsiTheme="majorHAnsi" w:cstheme="majorHAnsi"/>
                <w:bCs/>
                <w:i/>
                <w:iCs/>
                <w:color w:val="002060"/>
                <w:szCs w:val="22"/>
              </w:rPr>
              <w:t>?</w:t>
            </w:r>
          </w:p>
        </w:tc>
      </w:tr>
      <w:tr w:rsidR="00556718" w:rsidRPr="002E0FE4" w14:paraId="34CDFF7C" w14:textId="77777777" w:rsidTr="00556718">
        <w:tc>
          <w:tcPr>
            <w:tcW w:w="5000" w:type="pct"/>
            <w:tcBorders>
              <w:top w:val="single" w:sz="2" w:space="0" w:color="A6A6A6" w:themeColor="background1" w:themeShade="A6"/>
              <w:left w:val="single" w:sz="6" w:space="0" w:color="CCCCCC"/>
              <w:bottom w:val="single" w:sz="2" w:space="0" w:color="A6A6A6" w:themeColor="background1" w:themeShade="A6"/>
              <w:right w:val="single" w:sz="6" w:space="0" w:color="CCCCCC"/>
            </w:tcBorders>
            <w:shd w:val="clear" w:color="auto" w:fill="FFFFFF" w:themeFill="background1"/>
            <w:tcMar>
              <w:top w:w="30" w:type="dxa"/>
              <w:left w:w="30" w:type="dxa"/>
              <w:bottom w:w="30" w:type="dxa"/>
              <w:right w:w="30" w:type="dxa"/>
            </w:tcMar>
          </w:tcPr>
          <w:p w14:paraId="354D9DBA" w14:textId="516F5361" w:rsidR="009B189C" w:rsidRPr="002E0FE4" w:rsidRDefault="00452851" w:rsidP="009B189C">
            <w:pPr>
              <w:jc w:val="both"/>
              <w:rPr>
                <w:rFonts w:asciiTheme="majorHAnsi" w:eastAsia="Times New Roman" w:hAnsiTheme="majorHAnsi" w:cstheme="majorHAnsi"/>
                <w:b/>
              </w:rPr>
            </w:pPr>
            <w:r w:rsidRPr="002E0FE4">
              <w:rPr>
                <w:rFonts w:asciiTheme="majorHAnsi" w:eastAsia="Times New Roman" w:hAnsiTheme="majorHAnsi" w:cstheme="majorHAnsi"/>
                <w:b/>
              </w:rPr>
              <w:t>Task</w:t>
            </w:r>
            <w:r w:rsidR="009B189C" w:rsidRPr="002E0FE4">
              <w:rPr>
                <w:rFonts w:asciiTheme="majorHAnsi" w:eastAsia="Times New Roman" w:hAnsiTheme="majorHAnsi" w:cstheme="majorHAnsi"/>
                <w:b/>
              </w:rPr>
              <w:t xml:space="preserve"> 1:</w:t>
            </w:r>
          </w:p>
          <w:p w14:paraId="030AD513" w14:textId="77777777" w:rsidR="008A07D9" w:rsidRPr="002E0FE4" w:rsidRDefault="009B189C" w:rsidP="009B189C">
            <w:pPr>
              <w:jc w:val="both"/>
              <w:rPr>
                <w:rFonts w:asciiTheme="majorHAnsi" w:eastAsia="Times New Roman" w:hAnsiTheme="majorHAnsi" w:cstheme="majorHAnsi"/>
                <w:bCs/>
              </w:rPr>
            </w:pPr>
            <w:r w:rsidRPr="002E0FE4">
              <w:rPr>
                <w:rFonts w:asciiTheme="majorHAnsi" w:eastAsia="Times New Roman" w:hAnsiTheme="majorHAnsi" w:cstheme="majorHAnsi"/>
                <w:bCs/>
              </w:rPr>
              <w:t xml:space="preserve">Via NIWA’s </w:t>
            </w:r>
            <w:r w:rsidR="00E90DB0" w:rsidRPr="002E0FE4">
              <w:rPr>
                <w:rFonts w:asciiTheme="majorHAnsi" w:eastAsia="Times New Roman" w:hAnsiTheme="majorHAnsi" w:cstheme="majorHAnsi"/>
                <w:bCs/>
              </w:rPr>
              <w:t>website</w:t>
            </w:r>
            <w:r w:rsidR="008A07D9" w:rsidRPr="002E0FE4">
              <w:rPr>
                <w:rFonts w:asciiTheme="majorHAnsi" w:eastAsia="Times New Roman" w:hAnsiTheme="majorHAnsi" w:cstheme="majorHAnsi"/>
                <w:bCs/>
              </w:rPr>
              <w:t>:</w:t>
            </w:r>
          </w:p>
          <w:p w14:paraId="7DA8ABA1" w14:textId="2FCE2AFB" w:rsidR="009B189C" w:rsidRPr="002E0FE4" w:rsidRDefault="00771FC6" w:rsidP="00771FC6">
            <w:pPr>
              <w:pStyle w:val="ListParagraph"/>
              <w:numPr>
                <w:ilvl w:val="0"/>
                <w:numId w:val="29"/>
              </w:numPr>
              <w:jc w:val="both"/>
              <w:rPr>
                <w:rFonts w:asciiTheme="majorHAnsi" w:eastAsia="Times New Roman" w:hAnsiTheme="majorHAnsi" w:cstheme="majorHAnsi"/>
                <w:bCs/>
              </w:rPr>
            </w:pPr>
            <w:proofErr w:type="gramStart"/>
            <w:r w:rsidRPr="002E0FE4">
              <w:rPr>
                <w:rFonts w:asciiTheme="majorHAnsi" w:eastAsia="Times New Roman" w:hAnsiTheme="majorHAnsi" w:cstheme="majorHAnsi"/>
                <w:bCs/>
              </w:rPr>
              <w:t>on a monthly basis</w:t>
            </w:r>
            <w:proofErr w:type="gramEnd"/>
            <w:r w:rsidR="003E0D29" w:rsidRPr="002E0FE4">
              <w:rPr>
                <w:rFonts w:asciiTheme="majorHAnsi" w:eastAsia="Times New Roman" w:hAnsiTheme="majorHAnsi" w:cstheme="majorHAnsi"/>
                <w:bCs/>
              </w:rPr>
              <w:t>,</w:t>
            </w:r>
            <w:r w:rsidR="00337F54" w:rsidRPr="002E0FE4">
              <w:rPr>
                <w:rFonts w:asciiTheme="majorHAnsi" w:eastAsia="Times New Roman" w:hAnsiTheme="majorHAnsi" w:cstheme="majorHAnsi"/>
                <w:bCs/>
              </w:rPr>
              <w:t xml:space="preserve"> over the period</w:t>
            </w:r>
            <w:r w:rsidR="007733F0" w:rsidRPr="002E0FE4">
              <w:rPr>
                <w:rFonts w:asciiTheme="majorHAnsi" w:eastAsia="Times New Roman" w:hAnsiTheme="majorHAnsi" w:cstheme="majorHAnsi"/>
                <w:bCs/>
              </w:rPr>
              <w:t xml:space="preserve"> July 2022 and Jun</w:t>
            </w:r>
            <w:r w:rsidR="00337F54" w:rsidRPr="002E0FE4">
              <w:rPr>
                <w:rFonts w:asciiTheme="majorHAnsi" w:eastAsia="Times New Roman" w:hAnsiTheme="majorHAnsi" w:cstheme="majorHAnsi"/>
                <w:bCs/>
              </w:rPr>
              <w:t>e</w:t>
            </w:r>
            <w:r w:rsidR="007733F0" w:rsidRPr="002E0FE4">
              <w:rPr>
                <w:rFonts w:asciiTheme="majorHAnsi" w:eastAsia="Times New Roman" w:hAnsiTheme="majorHAnsi" w:cstheme="majorHAnsi"/>
                <w:bCs/>
              </w:rPr>
              <w:t xml:space="preserve"> 2023</w:t>
            </w:r>
            <w:r w:rsidR="00337F54" w:rsidRPr="002E0FE4">
              <w:rPr>
                <w:rFonts w:asciiTheme="majorHAnsi" w:eastAsia="Times New Roman" w:hAnsiTheme="majorHAnsi" w:cstheme="majorHAnsi"/>
                <w:bCs/>
              </w:rPr>
              <w:t>:</w:t>
            </w:r>
            <w:r w:rsidRPr="002E0FE4">
              <w:rPr>
                <w:rFonts w:asciiTheme="majorHAnsi" w:eastAsia="Times New Roman" w:hAnsiTheme="majorHAnsi" w:cstheme="majorHAnsi"/>
                <w:bCs/>
              </w:rPr>
              <w:t xml:space="preserve"> delivery updated </w:t>
            </w:r>
            <w:r w:rsidR="009B189C" w:rsidRPr="002E0FE4">
              <w:rPr>
                <w:rFonts w:asciiTheme="majorHAnsi" w:eastAsia="Times New Roman" w:hAnsiTheme="majorHAnsi" w:cstheme="majorHAnsi"/>
                <w:bCs/>
              </w:rPr>
              <w:t>forecasts of SST for oceanic waters adjacent to/containing NZ major NZ marine farming zones [</w:t>
            </w:r>
            <w:r w:rsidR="005B4362" w:rsidRPr="002E0FE4">
              <w:rPr>
                <w:rFonts w:asciiTheme="majorHAnsi" w:eastAsia="Times New Roman" w:hAnsiTheme="majorHAnsi" w:cstheme="majorHAnsi"/>
                <w:bCs/>
              </w:rPr>
              <w:t>Output 1]</w:t>
            </w:r>
            <w:r w:rsidR="00E90DB0" w:rsidRPr="002E0FE4">
              <w:rPr>
                <w:rFonts w:asciiTheme="majorHAnsi" w:eastAsia="Times New Roman" w:hAnsiTheme="majorHAnsi" w:cstheme="majorHAnsi"/>
                <w:bCs/>
              </w:rPr>
              <w:t>.</w:t>
            </w:r>
          </w:p>
          <w:p w14:paraId="425D3533" w14:textId="2BB3E7BE" w:rsidR="00AA31D1" w:rsidRPr="002E0FE4" w:rsidRDefault="00771FC6" w:rsidP="00985633">
            <w:pPr>
              <w:pStyle w:val="ListParagraph"/>
              <w:numPr>
                <w:ilvl w:val="0"/>
                <w:numId w:val="29"/>
              </w:numPr>
              <w:jc w:val="both"/>
              <w:rPr>
                <w:rFonts w:asciiTheme="majorHAnsi" w:eastAsia="Times New Roman" w:hAnsiTheme="majorHAnsi" w:cstheme="majorHAnsi"/>
                <w:bCs/>
              </w:rPr>
            </w:pPr>
            <w:r w:rsidRPr="002E0FE4">
              <w:rPr>
                <w:rFonts w:asciiTheme="majorHAnsi" w:eastAsia="Times New Roman" w:hAnsiTheme="majorHAnsi" w:cstheme="majorHAnsi"/>
                <w:bCs/>
              </w:rPr>
              <w:t>On a monthly basis</w:t>
            </w:r>
            <w:r w:rsidR="00BA4AD6" w:rsidRPr="002E0FE4">
              <w:rPr>
                <w:rFonts w:asciiTheme="majorHAnsi" w:eastAsia="Times New Roman" w:hAnsiTheme="majorHAnsi" w:cstheme="majorHAnsi"/>
                <w:bCs/>
              </w:rPr>
              <w:t xml:space="preserve">, </w:t>
            </w:r>
            <w:r w:rsidR="00337F54" w:rsidRPr="002E0FE4">
              <w:rPr>
                <w:rFonts w:asciiTheme="majorHAnsi" w:eastAsia="Times New Roman" w:hAnsiTheme="majorHAnsi" w:cstheme="majorHAnsi"/>
                <w:bCs/>
              </w:rPr>
              <w:t>over the period July 2022 and June 2023</w:t>
            </w:r>
            <w:r w:rsidR="003E0D29" w:rsidRPr="002E0FE4">
              <w:rPr>
                <w:rFonts w:asciiTheme="majorHAnsi" w:eastAsia="Times New Roman" w:hAnsiTheme="majorHAnsi" w:cstheme="majorHAnsi"/>
                <w:bCs/>
              </w:rPr>
              <w:t xml:space="preserve">: </w:t>
            </w:r>
            <w:r w:rsidR="00BA4AD6" w:rsidRPr="002E0FE4">
              <w:rPr>
                <w:rFonts w:asciiTheme="majorHAnsi" w:eastAsia="Times New Roman" w:hAnsiTheme="majorHAnsi" w:cstheme="majorHAnsi"/>
                <w:bCs/>
              </w:rPr>
              <w:t xml:space="preserve">deliver updated forecasts of </w:t>
            </w:r>
            <w:r w:rsidRPr="002E0FE4">
              <w:rPr>
                <w:rFonts w:asciiTheme="majorHAnsi" w:eastAsia="Times New Roman" w:hAnsiTheme="majorHAnsi" w:cstheme="majorHAnsi"/>
                <w:bCs/>
              </w:rPr>
              <w:t>and the condition of harvested, harvest size mussels in Pelorus Sound</w:t>
            </w:r>
          </w:p>
          <w:p w14:paraId="494D84C0" w14:textId="36385AA6" w:rsidR="003E0D29" w:rsidRPr="002E0FE4" w:rsidRDefault="003E0D29" w:rsidP="003E0D29">
            <w:pPr>
              <w:jc w:val="both"/>
              <w:rPr>
                <w:rFonts w:asciiTheme="majorHAnsi" w:eastAsia="Times New Roman" w:hAnsiTheme="majorHAnsi" w:cstheme="majorHAnsi"/>
                <w:bCs/>
              </w:rPr>
            </w:pPr>
            <w:r w:rsidRPr="002E0FE4">
              <w:rPr>
                <w:rFonts w:asciiTheme="majorHAnsi" w:eastAsia="Times New Roman" w:hAnsiTheme="majorHAnsi" w:cstheme="majorHAnsi"/>
                <w:bCs/>
              </w:rPr>
              <w:t>In addition:</w:t>
            </w:r>
          </w:p>
          <w:p w14:paraId="243A2366" w14:textId="77777777" w:rsidR="00F65518" w:rsidRPr="002E0FE4" w:rsidRDefault="007F5776" w:rsidP="00F65518">
            <w:pPr>
              <w:pStyle w:val="ListParagraph"/>
              <w:numPr>
                <w:ilvl w:val="0"/>
                <w:numId w:val="30"/>
              </w:numPr>
              <w:jc w:val="both"/>
              <w:rPr>
                <w:rFonts w:asciiTheme="majorHAnsi" w:eastAsia="Times New Roman" w:hAnsiTheme="majorHAnsi" w:cstheme="majorHAnsi"/>
                <w:bCs/>
              </w:rPr>
            </w:pPr>
            <w:r w:rsidRPr="002E0FE4">
              <w:rPr>
                <w:rFonts w:asciiTheme="majorHAnsi" w:eastAsia="Times New Roman" w:hAnsiTheme="majorHAnsi" w:cstheme="majorHAnsi"/>
                <w:bCs/>
              </w:rPr>
              <w:t xml:space="preserve">Continue analyses of the forecast SST data upon which we draw </w:t>
            </w:r>
            <w:proofErr w:type="gramStart"/>
            <w:r w:rsidRPr="002E0FE4">
              <w:rPr>
                <w:rFonts w:asciiTheme="majorHAnsi" w:eastAsia="Times New Roman" w:hAnsiTheme="majorHAnsi" w:cstheme="majorHAnsi"/>
                <w:bCs/>
              </w:rPr>
              <w:t>in order to</w:t>
            </w:r>
            <w:proofErr w:type="gramEnd"/>
            <w:r w:rsidRPr="002E0FE4">
              <w:rPr>
                <w:rFonts w:asciiTheme="majorHAnsi" w:eastAsia="Times New Roman" w:hAnsiTheme="majorHAnsi" w:cstheme="majorHAnsi"/>
                <w:bCs/>
              </w:rPr>
              <w:t xml:space="preserve"> better understand the merits of the various international SST forecast models to further improving the quality of the forecasts which we can deliver to industry.</w:t>
            </w:r>
            <w:r w:rsidR="001B51EE" w:rsidRPr="002E0FE4">
              <w:rPr>
                <w:rFonts w:asciiTheme="majorHAnsi" w:eastAsia="Times New Roman" w:hAnsiTheme="majorHAnsi" w:cstheme="majorHAnsi"/>
                <w:bCs/>
              </w:rPr>
              <w:t xml:space="preserve">  Any insights </w:t>
            </w:r>
            <w:r w:rsidR="005964B0" w:rsidRPr="002E0FE4">
              <w:rPr>
                <w:rFonts w:asciiTheme="majorHAnsi" w:eastAsia="Times New Roman" w:hAnsiTheme="majorHAnsi" w:cstheme="majorHAnsi"/>
                <w:bCs/>
              </w:rPr>
              <w:t>that lead to improved forecasts are to be incorporated into the routine monthly forecasts</w:t>
            </w:r>
            <w:r w:rsidR="007733F0" w:rsidRPr="002E0FE4">
              <w:rPr>
                <w:rFonts w:asciiTheme="majorHAnsi" w:eastAsia="Times New Roman" w:hAnsiTheme="majorHAnsi" w:cstheme="majorHAnsi"/>
                <w:bCs/>
              </w:rPr>
              <w:t xml:space="preserve"> before June 30, 2023</w:t>
            </w:r>
          </w:p>
          <w:p w14:paraId="736DA56F" w14:textId="033C487F" w:rsidR="007F5776" w:rsidRPr="002E0FE4" w:rsidRDefault="007F5776" w:rsidP="00F65518">
            <w:pPr>
              <w:pStyle w:val="ListParagraph"/>
              <w:numPr>
                <w:ilvl w:val="0"/>
                <w:numId w:val="30"/>
              </w:numPr>
              <w:jc w:val="both"/>
              <w:rPr>
                <w:rFonts w:asciiTheme="majorHAnsi" w:eastAsia="Times New Roman" w:hAnsiTheme="majorHAnsi" w:cstheme="majorHAnsi"/>
                <w:bCs/>
              </w:rPr>
            </w:pPr>
            <w:r w:rsidRPr="002E0FE4">
              <w:rPr>
                <w:rFonts w:asciiTheme="majorHAnsi" w:eastAsia="Times New Roman" w:hAnsiTheme="majorHAnsi" w:cstheme="majorHAnsi"/>
                <w:bCs/>
              </w:rPr>
              <w:t xml:space="preserve">Document the methods and forecast analyses for publication on the NIWA website and for submission to a Scientific Journal </w:t>
            </w:r>
            <w:r w:rsidR="00F65518" w:rsidRPr="002E0FE4">
              <w:rPr>
                <w:rFonts w:asciiTheme="majorHAnsi" w:eastAsia="Times New Roman" w:hAnsiTheme="majorHAnsi" w:cstheme="majorHAnsi"/>
                <w:bCs/>
              </w:rPr>
              <w:t xml:space="preserve">before June 30, 2023 </w:t>
            </w:r>
            <w:r w:rsidRPr="002E0FE4">
              <w:rPr>
                <w:rFonts w:asciiTheme="majorHAnsi" w:eastAsia="Times New Roman" w:hAnsiTheme="majorHAnsi" w:cstheme="majorHAnsi"/>
                <w:bCs/>
              </w:rPr>
              <w:t>[Outputs 2 and 3].</w:t>
            </w:r>
          </w:p>
          <w:p w14:paraId="545E4F0B" w14:textId="77777777" w:rsidR="00E90DB0" w:rsidRPr="002E0FE4" w:rsidRDefault="00E90DB0" w:rsidP="00E90DB0">
            <w:pPr>
              <w:jc w:val="both"/>
              <w:rPr>
                <w:rFonts w:asciiTheme="majorHAnsi" w:eastAsia="Times New Roman" w:hAnsiTheme="majorHAnsi" w:cstheme="majorHAnsi"/>
                <w:bCs/>
              </w:rPr>
            </w:pPr>
          </w:p>
          <w:p w14:paraId="206DD449" w14:textId="234E1488" w:rsidR="009B189C" w:rsidRPr="002E0FE4" w:rsidRDefault="002F5263" w:rsidP="009B189C">
            <w:pPr>
              <w:jc w:val="both"/>
              <w:rPr>
                <w:rFonts w:asciiTheme="majorHAnsi" w:eastAsia="Times New Roman" w:hAnsiTheme="majorHAnsi" w:cstheme="majorHAnsi"/>
                <w:b/>
              </w:rPr>
            </w:pPr>
            <w:r w:rsidRPr="002E0FE4">
              <w:rPr>
                <w:rFonts w:asciiTheme="majorHAnsi" w:eastAsia="Times New Roman" w:hAnsiTheme="majorHAnsi" w:cstheme="majorHAnsi"/>
                <w:b/>
              </w:rPr>
              <w:t>Task</w:t>
            </w:r>
            <w:r w:rsidR="009B189C" w:rsidRPr="002E0FE4">
              <w:rPr>
                <w:rFonts w:asciiTheme="majorHAnsi" w:eastAsia="Times New Roman" w:hAnsiTheme="majorHAnsi" w:cstheme="majorHAnsi"/>
                <w:b/>
              </w:rPr>
              <w:t xml:space="preserve"> </w:t>
            </w:r>
            <w:r w:rsidRPr="002E0FE4">
              <w:rPr>
                <w:rFonts w:asciiTheme="majorHAnsi" w:eastAsia="Times New Roman" w:hAnsiTheme="majorHAnsi" w:cstheme="majorHAnsi"/>
                <w:b/>
              </w:rPr>
              <w:t>2</w:t>
            </w:r>
            <w:r w:rsidR="009B189C" w:rsidRPr="002E0FE4">
              <w:rPr>
                <w:rFonts w:asciiTheme="majorHAnsi" w:eastAsia="Times New Roman" w:hAnsiTheme="majorHAnsi" w:cstheme="majorHAnsi"/>
                <w:b/>
              </w:rPr>
              <w:t>:</w:t>
            </w:r>
          </w:p>
          <w:p w14:paraId="337BB08C" w14:textId="76E756B4" w:rsidR="0043528A" w:rsidRPr="002E0FE4" w:rsidRDefault="00EF4028" w:rsidP="009B189C">
            <w:pPr>
              <w:jc w:val="both"/>
              <w:rPr>
                <w:rFonts w:asciiTheme="majorHAnsi" w:eastAsia="Times New Roman" w:hAnsiTheme="majorHAnsi" w:cstheme="majorHAnsi"/>
              </w:rPr>
            </w:pPr>
            <w:r w:rsidRPr="002E0FE4">
              <w:rPr>
                <w:rFonts w:asciiTheme="majorHAnsi" w:eastAsia="Times New Roman" w:hAnsiTheme="majorHAnsi" w:cstheme="majorHAnsi"/>
              </w:rPr>
              <w:t xml:space="preserve">In collaboration with </w:t>
            </w:r>
            <w:proofErr w:type="spellStart"/>
            <w:r w:rsidRPr="002E0FE4">
              <w:rPr>
                <w:rFonts w:asciiTheme="majorHAnsi" w:eastAsia="Times New Roman" w:hAnsiTheme="majorHAnsi" w:cstheme="majorHAnsi"/>
              </w:rPr>
              <w:t>Kono</w:t>
            </w:r>
            <w:proofErr w:type="spellEnd"/>
            <w:r w:rsidRPr="002E0FE4">
              <w:rPr>
                <w:rFonts w:asciiTheme="majorHAnsi" w:eastAsia="Times New Roman" w:hAnsiTheme="majorHAnsi" w:cstheme="majorHAnsi"/>
              </w:rPr>
              <w:t xml:space="preserve"> LLC and New Zealand King Salmon Ltd., </w:t>
            </w:r>
            <w:r w:rsidR="00EA76A3" w:rsidRPr="002E0FE4">
              <w:rPr>
                <w:rFonts w:asciiTheme="majorHAnsi" w:eastAsia="Times New Roman" w:hAnsiTheme="majorHAnsi" w:cstheme="majorHAnsi"/>
              </w:rPr>
              <w:t xml:space="preserve">maintain the existing network of </w:t>
            </w:r>
            <w:r w:rsidR="009B189C" w:rsidRPr="002E0FE4">
              <w:rPr>
                <w:rFonts w:asciiTheme="majorHAnsi" w:eastAsia="Times New Roman" w:hAnsiTheme="majorHAnsi" w:cstheme="majorHAnsi"/>
              </w:rPr>
              <w:t xml:space="preserve">temperature loggers </w:t>
            </w:r>
            <w:r w:rsidR="00EA76A3" w:rsidRPr="002E0FE4">
              <w:rPr>
                <w:rFonts w:asciiTheme="majorHAnsi" w:eastAsia="Times New Roman" w:hAnsiTheme="majorHAnsi" w:cstheme="majorHAnsi"/>
              </w:rPr>
              <w:t>associated with</w:t>
            </w:r>
            <w:r w:rsidR="009B189C" w:rsidRPr="002E0FE4">
              <w:rPr>
                <w:rFonts w:asciiTheme="majorHAnsi" w:eastAsia="Times New Roman" w:hAnsiTheme="majorHAnsi" w:cstheme="majorHAnsi"/>
              </w:rPr>
              <w:t xml:space="preserve"> marine farms in the Marlborough Sounds region</w:t>
            </w:r>
            <w:r w:rsidR="0035131B" w:rsidRPr="002E0FE4">
              <w:rPr>
                <w:rFonts w:asciiTheme="majorHAnsi" w:eastAsia="Times New Roman" w:hAnsiTheme="majorHAnsi" w:cstheme="majorHAnsi"/>
              </w:rPr>
              <w:t>.</w:t>
            </w:r>
            <w:r w:rsidR="009B189C" w:rsidRPr="002E0FE4">
              <w:rPr>
                <w:rFonts w:asciiTheme="majorHAnsi" w:eastAsia="Times New Roman" w:hAnsiTheme="majorHAnsi" w:cstheme="majorHAnsi"/>
              </w:rPr>
              <w:t xml:space="preserve">  Sensors </w:t>
            </w:r>
            <w:r w:rsidR="00E90DB0" w:rsidRPr="002E0FE4">
              <w:rPr>
                <w:rFonts w:asciiTheme="majorHAnsi" w:eastAsia="Times New Roman" w:hAnsiTheme="majorHAnsi" w:cstheme="majorHAnsi"/>
              </w:rPr>
              <w:t>will</w:t>
            </w:r>
            <w:r w:rsidR="009B189C" w:rsidRPr="002E0FE4">
              <w:rPr>
                <w:rFonts w:asciiTheme="majorHAnsi" w:eastAsia="Times New Roman" w:hAnsiTheme="majorHAnsi" w:cstheme="majorHAnsi"/>
              </w:rPr>
              <w:t xml:space="preserve"> be </w:t>
            </w:r>
            <w:r w:rsidR="000609EE" w:rsidRPr="002E0FE4">
              <w:rPr>
                <w:rFonts w:asciiTheme="majorHAnsi" w:eastAsia="Times New Roman" w:hAnsiTheme="majorHAnsi" w:cstheme="majorHAnsi"/>
              </w:rPr>
              <w:t>(re-)</w:t>
            </w:r>
            <w:r w:rsidR="00276F8C" w:rsidRPr="002E0FE4">
              <w:rPr>
                <w:rFonts w:asciiTheme="majorHAnsi" w:eastAsia="Times New Roman" w:hAnsiTheme="majorHAnsi" w:cstheme="majorHAnsi"/>
              </w:rPr>
              <w:t xml:space="preserve"> </w:t>
            </w:r>
            <w:r w:rsidR="009B189C" w:rsidRPr="002E0FE4">
              <w:rPr>
                <w:rFonts w:asciiTheme="majorHAnsi" w:eastAsia="Times New Roman" w:hAnsiTheme="majorHAnsi" w:cstheme="majorHAnsi"/>
              </w:rPr>
              <w:lastRenderedPageBreak/>
              <w:t xml:space="preserve">deployed before end July 2022 and to remain in the water until at least May 2023 (barring brief turn-around intervals for downloading/servicing). Sensor data </w:t>
            </w:r>
            <w:r w:rsidR="00E90DB0" w:rsidRPr="002E0FE4">
              <w:rPr>
                <w:rFonts w:asciiTheme="majorHAnsi" w:eastAsia="Times New Roman" w:hAnsiTheme="majorHAnsi" w:cstheme="majorHAnsi"/>
              </w:rPr>
              <w:t>will</w:t>
            </w:r>
            <w:r w:rsidR="009B189C" w:rsidRPr="002E0FE4">
              <w:rPr>
                <w:rFonts w:asciiTheme="majorHAnsi" w:eastAsia="Times New Roman" w:hAnsiTheme="majorHAnsi" w:cstheme="majorHAnsi"/>
              </w:rPr>
              <w:t xml:space="preserve"> be compiled into a readily accessible and properly documented electronic form (</w:t>
            </w:r>
            <w:r w:rsidR="00E90DB0" w:rsidRPr="002E0FE4">
              <w:rPr>
                <w:rFonts w:asciiTheme="majorHAnsi" w:eastAsia="Times New Roman" w:hAnsiTheme="majorHAnsi" w:cstheme="majorHAnsi"/>
              </w:rPr>
              <w:t>e.g.</w:t>
            </w:r>
            <w:r w:rsidR="009B189C" w:rsidRPr="002E0FE4">
              <w:rPr>
                <w:rFonts w:asciiTheme="majorHAnsi" w:eastAsia="Times New Roman" w:hAnsiTheme="majorHAnsi" w:cstheme="majorHAnsi"/>
              </w:rPr>
              <w:t xml:space="preserve"> excel spreadsheet or similar) following each instrument turn-around. The data </w:t>
            </w:r>
            <w:r w:rsidR="00E90DB0" w:rsidRPr="002E0FE4">
              <w:rPr>
                <w:rFonts w:asciiTheme="majorHAnsi" w:eastAsia="Times New Roman" w:hAnsiTheme="majorHAnsi" w:cstheme="majorHAnsi"/>
              </w:rPr>
              <w:t xml:space="preserve">will </w:t>
            </w:r>
            <w:r w:rsidR="009B189C" w:rsidRPr="002E0FE4">
              <w:rPr>
                <w:rFonts w:asciiTheme="majorHAnsi" w:eastAsia="Times New Roman" w:hAnsiTheme="majorHAnsi" w:cstheme="majorHAnsi"/>
              </w:rPr>
              <w:t xml:space="preserve">be </w:t>
            </w:r>
            <w:r w:rsidR="00E90DB0" w:rsidRPr="002E0FE4">
              <w:rPr>
                <w:rFonts w:asciiTheme="majorHAnsi" w:eastAsia="Times New Roman" w:hAnsiTheme="majorHAnsi" w:cstheme="majorHAnsi"/>
              </w:rPr>
              <w:t>v</w:t>
            </w:r>
            <w:r w:rsidR="009B189C" w:rsidRPr="002E0FE4">
              <w:rPr>
                <w:rFonts w:asciiTheme="majorHAnsi" w:eastAsia="Times New Roman" w:hAnsiTheme="majorHAnsi" w:cstheme="majorHAnsi"/>
              </w:rPr>
              <w:t xml:space="preserve">etted (assessed for quality with ‘bad data’ clearly marked or explicitly deleted). The in-situ observations of water-temperature at the marine farms have been compared with from satellite observations of SST and forecasted SST (subject to availability of corresponding satellite-sensed </w:t>
            </w:r>
            <w:r w:rsidR="00A11DD9" w:rsidRPr="002E0FE4">
              <w:rPr>
                <w:rFonts w:asciiTheme="majorHAnsi" w:eastAsia="Times New Roman" w:hAnsiTheme="majorHAnsi" w:cstheme="majorHAnsi"/>
              </w:rPr>
              <w:t xml:space="preserve">and forecast </w:t>
            </w:r>
            <w:r w:rsidR="009B189C" w:rsidRPr="002E0FE4">
              <w:rPr>
                <w:rFonts w:asciiTheme="majorHAnsi" w:eastAsia="Times New Roman" w:hAnsiTheme="majorHAnsi" w:cstheme="majorHAnsi"/>
              </w:rPr>
              <w:t>SST data)</w:t>
            </w:r>
            <w:r w:rsidR="00A11DD9" w:rsidRPr="002E0FE4">
              <w:rPr>
                <w:rFonts w:asciiTheme="majorHAnsi" w:eastAsia="Times New Roman" w:hAnsiTheme="majorHAnsi" w:cstheme="majorHAnsi"/>
              </w:rPr>
              <w:t xml:space="preserve">.  </w:t>
            </w:r>
            <w:r w:rsidR="0043528A" w:rsidRPr="002E0FE4">
              <w:rPr>
                <w:rFonts w:asciiTheme="majorHAnsi" w:eastAsia="Times New Roman" w:hAnsiTheme="majorHAnsi" w:cstheme="majorHAnsi"/>
              </w:rPr>
              <w:t>[Output 4]</w:t>
            </w:r>
          </w:p>
          <w:p w14:paraId="30DD4C89" w14:textId="1A9568F5" w:rsidR="00B906F7" w:rsidRPr="002E0FE4" w:rsidRDefault="00A11DD9" w:rsidP="002E0FE4">
            <w:pPr>
              <w:jc w:val="both"/>
              <w:rPr>
                <w:rFonts w:asciiTheme="majorHAnsi" w:eastAsia="Times New Roman" w:hAnsiTheme="majorHAnsi" w:cstheme="majorHAnsi"/>
                <w:bCs/>
                <w:i/>
                <w:iCs/>
                <w:color w:val="002060"/>
                <w:szCs w:val="22"/>
              </w:rPr>
            </w:pPr>
            <w:r w:rsidRPr="002E0FE4">
              <w:rPr>
                <w:rFonts w:asciiTheme="majorHAnsi" w:eastAsia="Times New Roman" w:hAnsiTheme="majorHAnsi" w:cstheme="majorHAnsi"/>
              </w:rPr>
              <w:t>In the longer term</w:t>
            </w:r>
            <w:r w:rsidR="0043528A" w:rsidRPr="002E0FE4">
              <w:rPr>
                <w:rFonts w:asciiTheme="majorHAnsi" w:eastAsia="Times New Roman" w:hAnsiTheme="majorHAnsi" w:cstheme="majorHAnsi"/>
              </w:rPr>
              <w:t xml:space="preserve"> (beyond the 22/23 FY)</w:t>
            </w:r>
            <w:r w:rsidRPr="002E0FE4">
              <w:rPr>
                <w:rFonts w:asciiTheme="majorHAnsi" w:eastAsia="Times New Roman" w:hAnsiTheme="majorHAnsi" w:cstheme="majorHAnsi"/>
              </w:rPr>
              <w:t xml:space="preserve">, we believe that these data will enable us to </w:t>
            </w:r>
            <w:proofErr w:type="gramStart"/>
            <w:r w:rsidRPr="002E0FE4">
              <w:rPr>
                <w:rFonts w:asciiTheme="majorHAnsi" w:eastAsia="Times New Roman" w:hAnsiTheme="majorHAnsi" w:cstheme="majorHAnsi"/>
              </w:rPr>
              <w:t>more reliably extrapolate from coarse spatial-scale forecasts of SST</w:t>
            </w:r>
            <w:proofErr w:type="gramEnd"/>
            <w:r w:rsidRPr="002E0FE4">
              <w:rPr>
                <w:rFonts w:asciiTheme="majorHAnsi" w:eastAsia="Times New Roman" w:hAnsiTheme="majorHAnsi" w:cstheme="majorHAnsi"/>
              </w:rPr>
              <w:t xml:space="preserve"> to bay-specific forecasts</w:t>
            </w:r>
            <w:r w:rsidR="00E90DB0" w:rsidRPr="002E0FE4">
              <w:rPr>
                <w:rFonts w:asciiTheme="majorHAnsi" w:eastAsia="Times New Roman" w:hAnsiTheme="majorHAnsi" w:cstheme="majorHAnsi"/>
              </w:rPr>
              <w:t>.</w:t>
            </w:r>
          </w:p>
        </w:tc>
      </w:tr>
    </w:tbl>
    <w:p w14:paraId="5D4AD26F" w14:textId="77777777" w:rsidR="00571BD6" w:rsidRPr="002E0FE4" w:rsidRDefault="00571BD6" w:rsidP="00571BD6">
      <w:pPr>
        <w:rPr>
          <w:rFonts w:asciiTheme="majorHAnsi" w:hAnsiTheme="majorHAnsi" w:cstheme="majorHAnsi"/>
        </w:rPr>
      </w:pPr>
    </w:p>
    <w:tbl>
      <w:tblPr>
        <w:tblW w:w="5000" w:type="pct"/>
        <w:tblBorders>
          <w:top w:val="single" w:sz="24" w:space="0" w:color="1F4E79" w:themeColor="accent1" w:themeShade="80"/>
          <w:left w:val="single" w:sz="6" w:space="0" w:color="CCCCCC"/>
          <w:bottom w:val="single" w:sz="24" w:space="0" w:color="1F4E79" w:themeColor="accent1" w:themeShade="80"/>
          <w:right w:val="single" w:sz="6" w:space="0" w:color="CCCCCC"/>
          <w:insideH w:val="single" w:sz="2" w:space="0" w:color="A6A6A6" w:themeColor="background1" w:themeShade="A6"/>
          <w:insideV w:val="single" w:sz="6" w:space="0" w:color="CCCCCC"/>
        </w:tblBorders>
        <w:shd w:val="clear" w:color="auto" w:fill="FFFFFF"/>
        <w:tblCellMar>
          <w:left w:w="0" w:type="dxa"/>
          <w:right w:w="0" w:type="dxa"/>
        </w:tblCellMar>
        <w:tblLook w:val="04A0" w:firstRow="1" w:lastRow="0" w:firstColumn="1" w:lastColumn="0" w:noHBand="0" w:noVBand="1"/>
      </w:tblPr>
      <w:tblGrid>
        <w:gridCol w:w="4953"/>
        <w:gridCol w:w="5497"/>
      </w:tblGrid>
      <w:tr w:rsidR="00556718" w:rsidRPr="002E0FE4" w14:paraId="58A8C716" w14:textId="399F1C58" w:rsidTr="0CF61013">
        <w:tc>
          <w:tcPr>
            <w:tcW w:w="5000" w:type="pct"/>
            <w:gridSpan w:val="2"/>
            <w:tcBorders>
              <w:bottom w:val="single" w:sz="2" w:space="0" w:color="A6A6A6" w:themeColor="background1" w:themeShade="A6"/>
            </w:tcBorders>
            <w:shd w:val="clear" w:color="auto" w:fill="auto"/>
            <w:tcMar>
              <w:top w:w="30" w:type="dxa"/>
              <w:left w:w="30" w:type="dxa"/>
              <w:bottom w:w="30" w:type="dxa"/>
              <w:right w:w="30" w:type="dxa"/>
            </w:tcMar>
          </w:tcPr>
          <w:p w14:paraId="280F3E80" w14:textId="2E422B4D" w:rsidR="00556718" w:rsidRPr="002E0FE4" w:rsidRDefault="00556718" w:rsidP="002204AB">
            <w:pPr>
              <w:ind w:left="31"/>
              <w:rPr>
                <w:rFonts w:asciiTheme="majorHAnsi" w:eastAsia="Times New Roman" w:hAnsiTheme="majorHAnsi" w:cstheme="majorHAnsi"/>
                <w:bCs/>
                <w:color w:val="002060"/>
                <w:szCs w:val="22"/>
              </w:rPr>
            </w:pPr>
            <w:r w:rsidRPr="002E0FE4">
              <w:rPr>
                <w:rFonts w:asciiTheme="majorHAnsi" w:eastAsia="Times New Roman" w:hAnsiTheme="majorHAnsi" w:cstheme="majorHAnsi"/>
                <w:bCs/>
                <w:i/>
                <w:iCs/>
                <w:color w:val="002060"/>
                <w:szCs w:val="22"/>
              </w:rPr>
              <w:t>Outputs—List expected outputs for each component of the Work programme</w:t>
            </w:r>
            <w:r w:rsidR="005C12EF" w:rsidRPr="002E0FE4">
              <w:rPr>
                <w:rFonts w:asciiTheme="majorHAnsi" w:eastAsia="Times New Roman" w:hAnsiTheme="majorHAnsi" w:cstheme="majorHAnsi"/>
                <w:bCs/>
                <w:i/>
                <w:iCs/>
                <w:color w:val="002060"/>
                <w:szCs w:val="22"/>
              </w:rPr>
              <w:t xml:space="preserve"> this year</w:t>
            </w:r>
            <w:r w:rsidRPr="002E0FE4">
              <w:rPr>
                <w:rFonts w:asciiTheme="majorHAnsi" w:eastAsia="Times New Roman" w:hAnsiTheme="majorHAnsi" w:cstheme="majorHAnsi"/>
                <w:bCs/>
                <w:i/>
                <w:iCs/>
                <w:color w:val="002060"/>
                <w:szCs w:val="22"/>
              </w:rPr>
              <w:t>. This will form the basis for reporting the progress of the project.</w:t>
            </w:r>
            <w:r w:rsidR="002204AB" w:rsidRPr="002E0FE4">
              <w:rPr>
                <w:rFonts w:asciiTheme="majorHAnsi" w:eastAsia="Times New Roman" w:hAnsiTheme="majorHAnsi" w:cstheme="majorHAnsi"/>
                <w:bCs/>
                <w:i/>
                <w:iCs/>
                <w:color w:val="002060"/>
                <w:szCs w:val="22"/>
              </w:rPr>
              <w:t xml:space="preserve"> </w:t>
            </w:r>
          </w:p>
        </w:tc>
      </w:tr>
      <w:tr w:rsidR="001B4A7C" w:rsidRPr="002E0FE4" w14:paraId="57B0E740" w14:textId="0CB4583E" w:rsidTr="0CF61013">
        <w:tc>
          <w:tcPr>
            <w:tcW w:w="2370" w:type="pct"/>
            <w:shd w:val="clear" w:color="auto" w:fill="auto"/>
            <w:tcMar>
              <w:top w:w="30" w:type="dxa"/>
              <w:left w:w="30" w:type="dxa"/>
              <w:bottom w:w="30" w:type="dxa"/>
              <w:right w:w="30" w:type="dxa"/>
            </w:tcMar>
          </w:tcPr>
          <w:p w14:paraId="4FD832F1" w14:textId="0CCA05C9" w:rsidR="001B4A7C" w:rsidRPr="002E0FE4" w:rsidRDefault="001B4A7C" w:rsidP="00FF7D73">
            <w:pPr>
              <w:ind w:left="685" w:hanging="567"/>
              <w:rPr>
                <w:rFonts w:asciiTheme="majorHAnsi" w:eastAsia="Times New Roman" w:hAnsiTheme="majorHAnsi" w:cstheme="majorHAnsi"/>
                <w:i/>
                <w:iCs/>
                <w:color w:val="002060"/>
                <w:sz w:val="20"/>
                <w:szCs w:val="20"/>
              </w:rPr>
            </w:pPr>
            <w:r w:rsidRPr="002E0FE4">
              <w:rPr>
                <w:rFonts w:asciiTheme="majorHAnsi" w:eastAsia="Times New Roman" w:hAnsiTheme="majorHAnsi" w:cstheme="majorHAnsi"/>
                <w:i/>
                <w:iCs/>
                <w:color w:val="002060"/>
                <w:sz w:val="20"/>
                <w:szCs w:val="20"/>
              </w:rPr>
              <w:t>Description (outputs to be produced)</w:t>
            </w:r>
          </w:p>
        </w:tc>
        <w:tc>
          <w:tcPr>
            <w:tcW w:w="2630" w:type="pct"/>
            <w:shd w:val="clear" w:color="auto" w:fill="auto"/>
          </w:tcPr>
          <w:p w14:paraId="7DA9FC5D" w14:textId="6B930CF4" w:rsidR="001B4A7C" w:rsidRPr="002E0FE4" w:rsidRDefault="001B4A7C" w:rsidP="00E018C4">
            <w:pPr>
              <w:ind w:left="685" w:hanging="567"/>
              <w:rPr>
                <w:rFonts w:asciiTheme="majorHAnsi" w:eastAsia="Times New Roman" w:hAnsiTheme="majorHAnsi" w:cstheme="majorHAnsi"/>
                <w:color w:val="7F7F7F" w:themeColor="text1" w:themeTint="80"/>
                <w:sz w:val="20"/>
                <w:szCs w:val="20"/>
              </w:rPr>
            </w:pPr>
            <w:r w:rsidRPr="002E0FE4">
              <w:rPr>
                <w:rFonts w:asciiTheme="majorHAnsi" w:eastAsia="Times New Roman" w:hAnsiTheme="majorHAnsi" w:cstheme="majorHAnsi"/>
                <w:i/>
                <w:iCs/>
                <w:color w:val="002060"/>
                <w:sz w:val="20"/>
                <w:szCs w:val="20"/>
              </w:rPr>
              <w:t>Comment (value of the outputs and their intended audience)</w:t>
            </w:r>
          </w:p>
        </w:tc>
      </w:tr>
      <w:tr w:rsidR="001B4A7C" w:rsidRPr="002E0FE4" w14:paraId="0D2941A6" w14:textId="6D088AC7" w:rsidTr="0CF61013">
        <w:tc>
          <w:tcPr>
            <w:tcW w:w="2370" w:type="pct"/>
            <w:shd w:val="clear" w:color="auto" w:fill="FFFFFF" w:themeFill="background1"/>
            <w:tcMar>
              <w:top w:w="30" w:type="dxa"/>
              <w:left w:w="30" w:type="dxa"/>
              <w:bottom w:w="30" w:type="dxa"/>
              <w:right w:w="30" w:type="dxa"/>
            </w:tcMar>
          </w:tcPr>
          <w:p w14:paraId="4AB6FAC2" w14:textId="62978A9D" w:rsidR="001B4A7C" w:rsidRPr="002E0FE4" w:rsidRDefault="009B189C" w:rsidP="009B189C">
            <w:pPr>
              <w:pStyle w:val="ListParagraph"/>
              <w:numPr>
                <w:ilvl w:val="0"/>
                <w:numId w:val="25"/>
              </w:numPr>
              <w:rPr>
                <w:rFonts w:asciiTheme="majorHAnsi" w:hAnsiTheme="majorHAnsi" w:cstheme="majorHAnsi"/>
                <w:sz w:val="20"/>
                <w:szCs w:val="20"/>
              </w:rPr>
            </w:pPr>
            <w:r w:rsidRPr="002E0FE4">
              <w:rPr>
                <w:rFonts w:asciiTheme="majorHAnsi" w:eastAsia="Times New Roman" w:hAnsiTheme="majorHAnsi" w:cstheme="majorHAnsi"/>
                <w:bCs/>
              </w:rPr>
              <w:t>New forecasts of water temperature and mussel condition have been issued via NIWA’s website at monthly intervals.</w:t>
            </w:r>
          </w:p>
        </w:tc>
        <w:tc>
          <w:tcPr>
            <w:tcW w:w="2630" w:type="pct"/>
            <w:shd w:val="clear" w:color="auto" w:fill="FFFFFF" w:themeFill="background1"/>
          </w:tcPr>
          <w:p w14:paraId="7BC0F0D2" w14:textId="4E3207C9" w:rsidR="001B4A7C" w:rsidRPr="002E0FE4" w:rsidRDefault="009B189C" w:rsidP="009C5AE7">
            <w:pPr>
              <w:rPr>
                <w:rFonts w:asciiTheme="majorHAnsi" w:hAnsiTheme="majorHAnsi" w:cstheme="majorHAnsi"/>
                <w:color w:val="7F7F7F" w:themeColor="text1" w:themeTint="80"/>
              </w:rPr>
            </w:pPr>
            <w:r w:rsidRPr="002E0FE4">
              <w:rPr>
                <w:rFonts w:asciiTheme="majorHAnsi" w:eastAsia="Times New Roman" w:hAnsiTheme="majorHAnsi" w:cstheme="majorHAnsi"/>
                <w:bCs/>
              </w:rPr>
              <w:t>Industry has been directed towards these forecasts via appropriate means (</w:t>
            </w:r>
            <w:proofErr w:type="spellStart"/>
            <w:r w:rsidRPr="002E0FE4">
              <w:rPr>
                <w:rFonts w:asciiTheme="majorHAnsi" w:eastAsia="Times New Roman" w:hAnsiTheme="majorHAnsi" w:cstheme="majorHAnsi"/>
                <w:bCs/>
              </w:rPr>
              <w:t>eg</w:t>
            </w:r>
            <w:proofErr w:type="spellEnd"/>
            <w:r w:rsidRPr="002E0FE4">
              <w:rPr>
                <w:rFonts w:asciiTheme="majorHAnsi" w:eastAsia="Times New Roman" w:hAnsiTheme="majorHAnsi" w:cstheme="majorHAnsi"/>
                <w:bCs/>
              </w:rPr>
              <w:t xml:space="preserve"> mention in Marine Farmers Associate AGM, Marine Farmers Association Research, Development &amp; Technology sub-committee</w:t>
            </w:r>
            <w:r w:rsidR="00F31CD5" w:rsidRPr="002E0FE4">
              <w:rPr>
                <w:rFonts w:asciiTheme="majorHAnsi" w:eastAsia="Times New Roman" w:hAnsiTheme="majorHAnsi" w:cstheme="majorHAnsi"/>
                <w:bCs/>
              </w:rPr>
              <w:t>, engage NIWA’s C&amp;E comms person to run comms on the product</w:t>
            </w:r>
            <w:r w:rsidRPr="002E0FE4">
              <w:rPr>
                <w:rFonts w:asciiTheme="majorHAnsi" w:eastAsia="Times New Roman" w:hAnsiTheme="majorHAnsi" w:cstheme="majorHAnsi"/>
                <w:bCs/>
              </w:rPr>
              <w:t>)</w:t>
            </w:r>
          </w:p>
        </w:tc>
      </w:tr>
      <w:tr w:rsidR="001B4A7C" w:rsidRPr="002E0FE4" w14:paraId="23ED17F2" w14:textId="034716D0" w:rsidTr="0CF61013">
        <w:tc>
          <w:tcPr>
            <w:tcW w:w="2370" w:type="pct"/>
            <w:shd w:val="clear" w:color="auto" w:fill="FFFFFF" w:themeFill="background1"/>
            <w:tcMar>
              <w:top w:w="30" w:type="dxa"/>
              <w:left w:w="30" w:type="dxa"/>
              <w:bottom w:w="30" w:type="dxa"/>
              <w:right w:w="30" w:type="dxa"/>
            </w:tcMar>
          </w:tcPr>
          <w:p w14:paraId="6F951F92" w14:textId="14D2FC3A" w:rsidR="001B4A7C" w:rsidRPr="002E0FE4" w:rsidRDefault="009B189C" w:rsidP="0CF61013">
            <w:pPr>
              <w:pStyle w:val="ListParagraph"/>
              <w:numPr>
                <w:ilvl w:val="0"/>
                <w:numId w:val="25"/>
              </w:numPr>
              <w:rPr>
                <w:rFonts w:asciiTheme="majorHAnsi" w:hAnsiTheme="majorHAnsi" w:cstheme="majorHAnsi"/>
                <w:sz w:val="20"/>
                <w:szCs w:val="20"/>
              </w:rPr>
            </w:pPr>
            <w:r w:rsidRPr="002E0FE4">
              <w:rPr>
                <w:rFonts w:asciiTheme="majorHAnsi" w:eastAsia="Times New Roman" w:hAnsiTheme="majorHAnsi" w:cstheme="majorHAnsi"/>
              </w:rPr>
              <w:t xml:space="preserve">One scientific manuscript describing the </w:t>
            </w:r>
            <w:r w:rsidR="005B4362" w:rsidRPr="002E0FE4">
              <w:rPr>
                <w:rFonts w:asciiTheme="majorHAnsi" w:eastAsia="Times New Roman" w:hAnsiTheme="majorHAnsi" w:cstheme="majorHAnsi"/>
              </w:rPr>
              <w:t>temperature</w:t>
            </w:r>
            <w:r w:rsidRPr="002E0FE4">
              <w:rPr>
                <w:rFonts w:asciiTheme="majorHAnsi" w:eastAsia="Times New Roman" w:hAnsiTheme="majorHAnsi" w:cstheme="majorHAnsi"/>
              </w:rPr>
              <w:t xml:space="preserve">-forecasting analyses and outcomes submitted by </w:t>
            </w:r>
            <w:r w:rsidR="00BA46FE" w:rsidRPr="002E0FE4">
              <w:rPr>
                <w:rFonts w:asciiTheme="majorHAnsi" w:eastAsia="Times New Roman" w:hAnsiTheme="majorHAnsi" w:cstheme="majorHAnsi"/>
              </w:rPr>
              <w:t>March</w:t>
            </w:r>
            <w:r w:rsidRPr="002E0FE4">
              <w:rPr>
                <w:rFonts w:asciiTheme="majorHAnsi" w:eastAsia="Times New Roman" w:hAnsiTheme="majorHAnsi" w:cstheme="majorHAnsi"/>
              </w:rPr>
              <w:t xml:space="preserve"> 202</w:t>
            </w:r>
            <w:r w:rsidR="00BA46FE" w:rsidRPr="002E0FE4">
              <w:rPr>
                <w:rFonts w:asciiTheme="majorHAnsi" w:eastAsia="Times New Roman" w:hAnsiTheme="majorHAnsi" w:cstheme="majorHAnsi"/>
              </w:rPr>
              <w:t>3</w:t>
            </w:r>
            <w:r w:rsidRPr="002E0FE4">
              <w:rPr>
                <w:rFonts w:asciiTheme="majorHAnsi" w:eastAsia="Times New Roman" w:hAnsiTheme="majorHAnsi" w:cstheme="majorHAnsi"/>
              </w:rPr>
              <w:t xml:space="preserve">  </w:t>
            </w:r>
          </w:p>
        </w:tc>
        <w:tc>
          <w:tcPr>
            <w:tcW w:w="2630" w:type="pct"/>
            <w:shd w:val="clear" w:color="auto" w:fill="FFFFFF" w:themeFill="background1"/>
          </w:tcPr>
          <w:p w14:paraId="5942CE34" w14:textId="7041C76B" w:rsidR="001B4A7C" w:rsidRPr="002E0FE4" w:rsidRDefault="00E90DB0" w:rsidP="009C5AE7">
            <w:pPr>
              <w:rPr>
                <w:rFonts w:asciiTheme="majorHAnsi" w:hAnsiTheme="majorHAnsi" w:cstheme="majorHAnsi"/>
                <w:color w:val="7F7F7F" w:themeColor="text1" w:themeTint="80"/>
              </w:rPr>
            </w:pPr>
            <w:r w:rsidRPr="002E0FE4">
              <w:rPr>
                <w:rFonts w:asciiTheme="majorHAnsi" w:eastAsia="Times New Roman" w:hAnsiTheme="majorHAnsi" w:cstheme="majorHAnsi"/>
                <w:bCs/>
              </w:rPr>
              <w:t>Analogous material has also been incorporated into the relevant part of NIWA’s website</w:t>
            </w:r>
          </w:p>
        </w:tc>
      </w:tr>
      <w:tr w:rsidR="005B4362" w:rsidRPr="002E0FE4" w14:paraId="3D002489" w14:textId="77777777" w:rsidTr="0CF61013">
        <w:tc>
          <w:tcPr>
            <w:tcW w:w="2370" w:type="pct"/>
            <w:shd w:val="clear" w:color="auto" w:fill="FFFFFF" w:themeFill="background1"/>
            <w:tcMar>
              <w:top w:w="30" w:type="dxa"/>
              <w:left w:w="30" w:type="dxa"/>
              <w:bottom w:w="30" w:type="dxa"/>
              <w:right w:w="30" w:type="dxa"/>
            </w:tcMar>
          </w:tcPr>
          <w:p w14:paraId="4C943672" w14:textId="02B25314" w:rsidR="005B4362" w:rsidRPr="002E0FE4" w:rsidRDefault="005B4362" w:rsidP="009B189C">
            <w:pPr>
              <w:pStyle w:val="ListParagraph"/>
              <w:numPr>
                <w:ilvl w:val="0"/>
                <w:numId w:val="25"/>
              </w:numPr>
              <w:rPr>
                <w:rFonts w:asciiTheme="majorHAnsi" w:eastAsia="Times New Roman" w:hAnsiTheme="majorHAnsi" w:cstheme="majorHAnsi"/>
                <w:bCs/>
              </w:rPr>
            </w:pPr>
            <w:r w:rsidRPr="002E0FE4">
              <w:rPr>
                <w:rFonts w:asciiTheme="majorHAnsi" w:eastAsia="Times New Roman" w:hAnsiTheme="majorHAnsi" w:cstheme="majorHAnsi"/>
                <w:bCs/>
              </w:rPr>
              <w:t xml:space="preserve">One scientific manuscript describing the condition-forecasting analyses and outcomes submitted by June 2023.  </w:t>
            </w:r>
          </w:p>
        </w:tc>
        <w:tc>
          <w:tcPr>
            <w:tcW w:w="2630" w:type="pct"/>
            <w:shd w:val="clear" w:color="auto" w:fill="FFFFFF" w:themeFill="background1"/>
          </w:tcPr>
          <w:p w14:paraId="6CF98F6C" w14:textId="0E29E0F0" w:rsidR="005B4362" w:rsidRPr="002E0FE4" w:rsidRDefault="00E90DB0" w:rsidP="009C5AE7">
            <w:pPr>
              <w:rPr>
                <w:rFonts w:asciiTheme="majorHAnsi" w:hAnsiTheme="majorHAnsi" w:cstheme="majorHAnsi"/>
                <w:color w:val="7F7F7F" w:themeColor="text1" w:themeTint="80"/>
              </w:rPr>
            </w:pPr>
            <w:r w:rsidRPr="002E0FE4">
              <w:rPr>
                <w:rFonts w:asciiTheme="majorHAnsi" w:eastAsia="Times New Roman" w:hAnsiTheme="majorHAnsi" w:cstheme="majorHAnsi"/>
                <w:bCs/>
              </w:rPr>
              <w:t>Analogous material has also been incorporated into the relevant part of NIWA’s website</w:t>
            </w:r>
          </w:p>
        </w:tc>
      </w:tr>
      <w:tr w:rsidR="001B4A7C" w:rsidRPr="002E0FE4" w14:paraId="0F549E3E" w14:textId="6ED5CD18" w:rsidTr="0CF61013">
        <w:tc>
          <w:tcPr>
            <w:tcW w:w="2370" w:type="pct"/>
            <w:tcBorders>
              <w:bottom w:val="single" w:sz="4" w:space="0" w:color="A6A6A6" w:themeColor="background1" w:themeShade="A6"/>
            </w:tcBorders>
            <w:shd w:val="clear" w:color="auto" w:fill="FFFFFF" w:themeFill="background1"/>
            <w:tcMar>
              <w:top w:w="30" w:type="dxa"/>
              <w:left w:w="30" w:type="dxa"/>
              <w:bottom w:w="30" w:type="dxa"/>
              <w:right w:w="30" w:type="dxa"/>
            </w:tcMar>
          </w:tcPr>
          <w:p w14:paraId="449F0D0F" w14:textId="21360B45" w:rsidR="009B189C" w:rsidRPr="002E0FE4" w:rsidRDefault="009B189C" w:rsidP="009B189C">
            <w:pPr>
              <w:pStyle w:val="ListParagraph"/>
              <w:numPr>
                <w:ilvl w:val="0"/>
                <w:numId w:val="25"/>
              </w:numPr>
              <w:rPr>
                <w:rFonts w:asciiTheme="majorHAnsi" w:eastAsia="Times New Roman" w:hAnsiTheme="majorHAnsi" w:cstheme="majorHAnsi"/>
                <w:sz w:val="20"/>
                <w:szCs w:val="20"/>
              </w:rPr>
            </w:pPr>
            <w:r w:rsidRPr="002E0FE4">
              <w:rPr>
                <w:rFonts w:asciiTheme="majorHAnsi" w:eastAsia="Times New Roman" w:hAnsiTheme="majorHAnsi" w:cstheme="majorHAnsi"/>
                <w:iCs/>
              </w:rPr>
              <w:t>Temperature logger data from Marlborough farms are available in a well</w:t>
            </w:r>
            <w:r w:rsidR="005B4362" w:rsidRPr="002E0FE4">
              <w:rPr>
                <w:rFonts w:asciiTheme="majorHAnsi" w:eastAsia="Times New Roman" w:hAnsiTheme="majorHAnsi" w:cstheme="majorHAnsi"/>
                <w:iCs/>
              </w:rPr>
              <w:t>-</w:t>
            </w:r>
            <w:r w:rsidRPr="002E0FE4">
              <w:rPr>
                <w:rFonts w:asciiTheme="majorHAnsi" w:eastAsia="Times New Roman" w:hAnsiTheme="majorHAnsi" w:cstheme="majorHAnsi"/>
                <w:iCs/>
              </w:rPr>
              <w:t>documented, electronic form (e</w:t>
            </w:r>
            <w:r w:rsidR="005B4362" w:rsidRPr="002E0FE4">
              <w:rPr>
                <w:rFonts w:asciiTheme="majorHAnsi" w:eastAsia="Times New Roman" w:hAnsiTheme="majorHAnsi" w:cstheme="majorHAnsi"/>
                <w:iCs/>
              </w:rPr>
              <w:t>.</w:t>
            </w:r>
            <w:r w:rsidRPr="002E0FE4">
              <w:rPr>
                <w:rFonts w:asciiTheme="majorHAnsi" w:eastAsia="Times New Roman" w:hAnsiTheme="majorHAnsi" w:cstheme="majorHAnsi"/>
                <w:iCs/>
              </w:rPr>
              <w:t>g</w:t>
            </w:r>
            <w:r w:rsidR="005B4362" w:rsidRPr="002E0FE4">
              <w:rPr>
                <w:rFonts w:asciiTheme="majorHAnsi" w:eastAsia="Times New Roman" w:hAnsiTheme="majorHAnsi" w:cstheme="majorHAnsi"/>
                <w:iCs/>
              </w:rPr>
              <w:t>.</w:t>
            </w:r>
            <w:r w:rsidRPr="002E0FE4">
              <w:rPr>
                <w:rFonts w:asciiTheme="majorHAnsi" w:eastAsia="Times New Roman" w:hAnsiTheme="majorHAnsi" w:cstheme="majorHAnsi"/>
                <w:iCs/>
              </w:rPr>
              <w:t xml:space="preserve"> excel spreadsheet or similar). An </w:t>
            </w:r>
            <w:r w:rsidR="00B01533" w:rsidRPr="002E0FE4">
              <w:rPr>
                <w:rFonts w:asciiTheme="majorHAnsi" w:eastAsia="Times New Roman" w:hAnsiTheme="majorHAnsi" w:cstheme="majorHAnsi"/>
                <w:iCs/>
              </w:rPr>
              <w:t xml:space="preserve">early-stage draft </w:t>
            </w:r>
            <w:proofErr w:type="gramStart"/>
            <w:r w:rsidR="00B01533" w:rsidRPr="002E0FE4">
              <w:rPr>
                <w:rFonts w:asciiTheme="majorHAnsi" w:eastAsia="Times New Roman" w:hAnsiTheme="majorHAnsi" w:cstheme="majorHAnsi"/>
                <w:iCs/>
              </w:rPr>
              <w:t xml:space="preserve">paper </w:t>
            </w:r>
            <w:r w:rsidRPr="002E0FE4">
              <w:rPr>
                <w:rFonts w:asciiTheme="majorHAnsi" w:eastAsia="Times New Roman" w:hAnsiTheme="majorHAnsi" w:cstheme="majorHAnsi"/>
                <w:iCs/>
              </w:rPr>
              <w:t xml:space="preserve"> describes</w:t>
            </w:r>
            <w:proofErr w:type="gramEnd"/>
            <w:r w:rsidRPr="002E0FE4">
              <w:rPr>
                <w:rFonts w:asciiTheme="majorHAnsi" w:eastAsia="Times New Roman" w:hAnsiTheme="majorHAnsi" w:cstheme="majorHAnsi"/>
                <w:iCs/>
              </w:rPr>
              <w:t xml:space="preserve"> the observed in-situ observations in the context of historical in-situ observations and compares the recent in-situ observations with corresponding contemporaneous satellite-sensed SST observations and forecasts of SST (by year-end)</w:t>
            </w:r>
          </w:p>
          <w:p w14:paraId="452BCEB3" w14:textId="76D30DB0" w:rsidR="001B4A7C" w:rsidRPr="002E0FE4" w:rsidRDefault="001B4A7C" w:rsidP="009C5AE7">
            <w:pPr>
              <w:rPr>
                <w:rFonts w:asciiTheme="majorHAnsi" w:hAnsiTheme="majorHAnsi" w:cstheme="majorHAnsi"/>
                <w:sz w:val="20"/>
                <w:szCs w:val="20"/>
              </w:rPr>
            </w:pPr>
          </w:p>
        </w:tc>
        <w:tc>
          <w:tcPr>
            <w:tcW w:w="2630" w:type="pct"/>
            <w:tcBorders>
              <w:bottom w:val="single" w:sz="4" w:space="0" w:color="A6A6A6" w:themeColor="background1" w:themeShade="A6"/>
            </w:tcBorders>
            <w:shd w:val="clear" w:color="auto" w:fill="FFFFFF" w:themeFill="background1"/>
          </w:tcPr>
          <w:p w14:paraId="1B29F2FA" w14:textId="35D63E67" w:rsidR="001B4A7C" w:rsidRPr="002E0FE4" w:rsidRDefault="005B4362" w:rsidP="009C5AE7">
            <w:pPr>
              <w:rPr>
                <w:rFonts w:asciiTheme="majorHAnsi" w:hAnsiTheme="majorHAnsi" w:cstheme="majorHAnsi"/>
              </w:rPr>
            </w:pPr>
            <w:r w:rsidRPr="002E0FE4">
              <w:rPr>
                <w:rFonts w:asciiTheme="majorHAnsi" w:hAnsiTheme="majorHAnsi" w:cstheme="majorHAnsi"/>
              </w:rPr>
              <w:t xml:space="preserve">Data collected </w:t>
            </w:r>
            <w:r w:rsidR="00E90DB0" w:rsidRPr="002E0FE4">
              <w:rPr>
                <w:rFonts w:asciiTheme="majorHAnsi" w:hAnsiTheme="majorHAnsi" w:cstheme="majorHAnsi"/>
              </w:rPr>
              <w:t xml:space="preserve">with support from </w:t>
            </w:r>
            <w:proofErr w:type="spellStart"/>
            <w:r w:rsidRPr="002E0FE4">
              <w:rPr>
                <w:rFonts w:asciiTheme="majorHAnsi" w:hAnsiTheme="majorHAnsi" w:cstheme="majorHAnsi"/>
              </w:rPr>
              <w:t>Kono</w:t>
            </w:r>
            <w:proofErr w:type="spellEnd"/>
            <w:r w:rsidR="00E90DB0" w:rsidRPr="002E0FE4">
              <w:rPr>
                <w:rFonts w:asciiTheme="majorHAnsi" w:hAnsiTheme="majorHAnsi" w:cstheme="majorHAnsi"/>
              </w:rPr>
              <w:t xml:space="preserve"> to deploy loggers on farms they own or operate.</w:t>
            </w:r>
          </w:p>
        </w:tc>
      </w:tr>
    </w:tbl>
    <w:p w14:paraId="58FBA6EE" w14:textId="178D7DE8" w:rsidR="00571BD6" w:rsidRPr="002E0FE4" w:rsidRDefault="00571BD6" w:rsidP="00485F98">
      <w:pPr>
        <w:rPr>
          <w:rFonts w:asciiTheme="majorHAnsi" w:hAnsiTheme="majorHAnsi" w:cstheme="majorHAnsi"/>
        </w:rPr>
      </w:pPr>
    </w:p>
    <w:sectPr w:rsidR="00571BD6" w:rsidRPr="002E0FE4" w:rsidSect="007C4C1A">
      <w:footerReference w:type="default" r:id="rId11"/>
      <w:headerReference w:type="first" r:id="rId12"/>
      <w:footerReference w:type="first" r:id="rId1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4ADC4" w14:textId="77777777" w:rsidR="00C14DEC" w:rsidRDefault="00C14DEC" w:rsidP="00045AF3">
      <w:r>
        <w:separator/>
      </w:r>
    </w:p>
  </w:endnote>
  <w:endnote w:type="continuationSeparator" w:id="0">
    <w:p w14:paraId="3D2DD417" w14:textId="77777777" w:rsidR="00C14DEC" w:rsidRDefault="00C14DEC" w:rsidP="0004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A85B" w14:textId="0CA92372" w:rsidR="002E0FE4" w:rsidRPr="00091402" w:rsidRDefault="00091402" w:rsidP="00091402">
    <w:pPr>
      <w:pStyle w:val="Footer"/>
    </w:pPr>
    <w:r w:rsidRPr="00091402">
      <w:rPr>
        <w:sz w:val="22"/>
        <w:szCs w:val="22"/>
      </w:rPr>
      <w:t>Strategic Science Investment Fund Project – Approved by Scott Stephens 9 August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84BA" w14:textId="72097938" w:rsidR="002E0FE4" w:rsidRPr="00091402" w:rsidRDefault="00091402" w:rsidP="00091402">
    <w:pPr>
      <w:pStyle w:val="Footer"/>
    </w:pPr>
    <w:r w:rsidRPr="00091402">
      <w:rPr>
        <w:sz w:val="22"/>
        <w:szCs w:val="22"/>
      </w:rPr>
      <w:t>Strategic Science Investment Fund Project – Approved by Scott Stephens 9 August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AC5E5" w14:textId="77777777" w:rsidR="00C14DEC" w:rsidRDefault="00C14DEC" w:rsidP="00045AF3">
      <w:r>
        <w:separator/>
      </w:r>
    </w:p>
  </w:footnote>
  <w:footnote w:type="continuationSeparator" w:id="0">
    <w:p w14:paraId="6BEB76EA" w14:textId="77777777" w:rsidR="00C14DEC" w:rsidRDefault="00C14DEC" w:rsidP="00045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3E421" w14:textId="3FCA55CE" w:rsidR="007C4C1A" w:rsidRDefault="007C4C1A">
    <w:pPr>
      <w:pStyle w:val="Header"/>
    </w:pPr>
    <w:r w:rsidRPr="00A13694">
      <w:rPr>
        <w:noProof/>
        <w:color w:val="44546A" w:themeColor="text2"/>
      </w:rPr>
      <w:drawing>
        <wp:anchor distT="0" distB="0" distL="114300" distR="114300" simplePos="0" relativeHeight="251659264" behindDoc="0" locked="0" layoutInCell="1" allowOverlap="1" wp14:anchorId="504A8C30" wp14:editId="63B728D0">
          <wp:simplePos x="0" y="0"/>
          <wp:positionH relativeFrom="column">
            <wp:posOffset>4851400</wp:posOffset>
          </wp:positionH>
          <wp:positionV relativeFrom="paragraph">
            <wp:posOffset>-349885</wp:posOffset>
          </wp:positionV>
          <wp:extent cx="1797049" cy="767301"/>
          <wp:effectExtent l="0" t="0" r="0" b="0"/>
          <wp:wrapNone/>
          <wp:docPr id="3" name="Picture 2">
            <a:extLst xmlns:a="http://schemas.openxmlformats.org/drawingml/2006/main">
              <a:ext uri="{FF2B5EF4-FFF2-40B4-BE49-F238E27FC236}">
                <a16:creationId xmlns:a16="http://schemas.microsoft.com/office/drawing/2014/main" id="{2F8AECEE-BF17-4070-B6DE-5FA9038EF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F8AECEE-BF17-4070-B6DE-5FA9038EFFBF}"/>
                      </a:ext>
                    </a:extLst>
                  </pic:cNvPr>
                  <pic:cNvPicPr>
                    <a:picLocks noChangeAspect="1"/>
                  </pic:cNvPicPr>
                </pic:nvPicPr>
                <pic:blipFill rotWithShape="1">
                  <a:blip r:embed="rId1" cstate="print">
                    <a:extLst>
                      <a:ext uri="{BEBA8EAE-BF5A-486C-A8C5-ECC9F3942E4B}">
                        <a14:imgProps xmlns:a14="http://schemas.microsoft.com/office/drawing/2010/main">
                          <a14:imgLayer r:embed="rId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7012" t="18752" r="14573" b="22681"/>
                  <a:stretch/>
                </pic:blipFill>
                <pic:spPr bwMode="auto">
                  <a:xfrm>
                    <a:off x="0" y="0"/>
                    <a:ext cx="1797049" cy="7673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518"/>
    <w:multiLevelType w:val="hybridMultilevel"/>
    <w:tmpl w:val="5ED0B1B0"/>
    <w:lvl w:ilvl="0" w:tplc="234A1BCA">
      <w:numFmt w:val="bullet"/>
      <w:lvlText w:val="-"/>
      <w:lvlJc w:val="left"/>
      <w:pPr>
        <w:ind w:left="720" w:hanging="360"/>
      </w:pPr>
      <w:rPr>
        <w:rFonts w:ascii="Calibri" w:eastAsia="Calibr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0826444B"/>
    <w:multiLevelType w:val="hybridMultilevel"/>
    <w:tmpl w:val="5D8E844A"/>
    <w:lvl w:ilvl="0" w:tplc="9A32EB88">
      <w:numFmt w:val="bullet"/>
      <w:lvlText w:val="•"/>
      <w:lvlJc w:val="left"/>
      <w:pPr>
        <w:ind w:left="1363" w:hanging="720"/>
      </w:pPr>
      <w:rPr>
        <w:rFonts w:ascii="Calibri" w:eastAsia="Times New Roman" w:hAnsi="Calibri" w:cs="Times New Roman" w:hint="default"/>
      </w:rPr>
    </w:lvl>
    <w:lvl w:ilvl="1" w:tplc="14090003" w:tentative="1">
      <w:start w:val="1"/>
      <w:numFmt w:val="bullet"/>
      <w:lvlText w:val="o"/>
      <w:lvlJc w:val="left"/>
      <w:pPr>
        <w:ind w:left="1723" w:hanging="360"/>
      </w:pPr>
      <w:rPr>
        <w:rFonts w:ascii="Courier New" w:hAnsi="Courier New" w:cs="Courier New" w:hint="default"/>
      </w:rPr>
    </w:lvl>
    <w:lvl w:ilvl="2" w:tplc="14090005" w:tentative="1">
      <w:start w:val="1"/>
      <w:numFmt w:val="bullet"/>
      <w:lvlText w:val=""/>
      <w:lvlJc w:val="left"/>
      <w:pPr>
        <w:ind w:left="2443" w:hanging="360"/>
      </w:pPr>
      <w:rPr>
        <w:rFonts w:ascii="Wingdings" w:hAnsi="Wingdings" w:hint="default"/>
      </w:rPr>
    </w:lvl>
    <w:lvl w:ilvl="3" w:tplc="14090001" w:tentative="1">
      <w:start w:val="1"/>
      <w:numFmt w:val="bullet"/>
      <w:lvlText w:val=""/>
      <w:lvlJc w:val="left"/>
      <w:pPr>
        <w:ind w:left="3163" w:hanging="360"/>
      </w:pPr>
      <w:rPr>
        <w:rFonts w:ascii="Symbol" w:hAnsi="Symbol" w:hint="default"/>
      </w:rPr>
    </w:lvl>
    <w:lvl w:ilvl="4" w:tplc="14090003" w:tentative="1">
      <w:start w:val="1"/>
      <w:numFmt w:val="bullet"/>
      <w:lvlText w:val="o"/>
      <w:lvlJc w:val="left"/>
      <w:pPr>
        <w:ind w:left="3883" w:hanging="360"/>
      </w:pPr>
      <w:rPr>
        <w:rFonts w:ascii="Courier New" w:hAnsi="Courier New" w:cs="Courier New" w:hint="default"/>
      </w:rPr>
    </w:lvl>
    <w:lvl w:ilvl="5" w:tplc="14090005" w:tentative="1">
      <w:start w:val="1"/>
      <w:numFmt w:val="bullet"/>
      <w:lvlText w:val=""/>
      <w:lvlJc w:val="left"/>
      <w:pPr>
        <w:ind w:left="4603" w:hanging="360"/>
      </w:pPr>
      <w:rPr>
        <w:rFonts w:ascii="Wingdings" w:hAnsi="Wingdings" w:hint="default"/>
      </w:rPr>
    </w:lvl>
    <w:lvl w:ilvl="6" w:tplc="14090001" w:tentative="1">
      <w:start w:val="1"/>
      <w:numFmt w:val="bullet"/>
      <w:lvlText w:val=""/>
      <w:lvlJc w:val="left"/>
      <w:pPr>
        <w:ind w:left="5323" w:hanging="360"/>
      </w:pPr>
      <w:rPr>
        <w:rFonts w:ascii="Symbol" w:hAnsi="Symbol" w:hint="default"/>
      </w:rPr>
    </w:lvl>
    <w:lvl w:ilvl="7" w:tplc="14090003" w:tentative="1">
      <w:start w:val="1"/>
      <w:numFmt w:val="bullet"/>
      <w:lvlText w:val="o"/>
      <w:lvlJc w:val="left"/>
      <w:pPr>
        <w:ind w:left="6043" w:hanging="360"/>
      </w:pPr>
      <w:rPr>
        <w:rFonts w:ascii="Courier New" w:hAnsi="Courier New" w:cs="Courier New" w:hint="default"/>
      </w:rPr>
    </w:lvl>
    <w:lvl w:ilvl="8" w:tplc="14090005" w:tentative="1">
      <w:start w:val="1"/>
      <w:numFmt w:val="bullet"/>
      <w:lvlText w:val=""/>
      <w:lvlJc w:val="left"/>
      <w:pPr>
        <w:ind w:left="6763" w:hanging="360"/>
      </w:pPr>
      <w:rPr>
        <w:rFonts w:ascii="Wingdings" w:hAnsi="Wingdings" w:hint="default"/>
      </w:rPr>
    </w:lvl>
  </w:abstractNum>
  <w:abstractNum w:abstractNumId="2" w15:restartNumberingAfterBreak="0">
    <w:nsid w:val="0BC06CB0"/>
    <w:multiLevelType w:val="hybridMultilevel"/>
    <w:tmpl w:val="854E78BA"/>
    <w:lvl w:ilvl="0" w:tplc="9A32EB88">
      <w:numFmt w:val="bullet"/>
      <w:lvlText w:val="•"/>
      <w:lvlJc w:val="left"/>
      <w:pPr>
        <w:ind w:left="1080" w:hanging="720"/>
      </w:pPr>
      <w:rPr>
        <w:rFonts w:ascii="Calibri" w:eastAsia="Times New Roman"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D2B535B"/>
    <w:multiLevelType w:val="hybridMultilevel"/>
    <w:tmpl w:val="40EAD7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3960450"/>
    <w:multiLevelType w:val="hybridMultilevel"/>
    <w:tmpl w:val="41BC33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750645"/>
    <w:multiLevelType w:val="hybridMultilevel"/>
    <w:tmpl w:val="797AB76A"/>
    <w:lvl w:ilvl="0" w:tplc="ACBE9390">
      <w:numFmt w:val="bullet"/>
      <w:lvlText w:val="-"/>
      <w:lvlJc w:val="left"/>
      <w:pPr>
        <w:ind w:left="465" w:hanging="360"/>
      </w:pPr>
      <w:rPr>
        <w:rFonts w:ascii="Calibri" w:eastAsia="Times New Roman" w:hAnsi="Calibri" w:cs="Times New Roman" w:hint="default"/>
      </w:rPr>
    </w:lvl>
    <w:lvl w:ilvl="1" w:tplc="14090003" w:tentative="1">
      <w:start w:val="1"/>
      <w:numFmt w:val="bullet"/>
      <w:lvlText w:val="o"/>
      <w:lvlJc w:val="left"/>
      <w:pPr>
        <w:ind w:left="1185" w:hanging="360"/>
      </w:pPr>
      <w:rPr>
        <w:rFonts w:ascii="Courier New" w:hAnsi="Courier New" w:cs="Courier New" w:hint="default"/>
      </w:rPr>
    </w:lvl>
    <w:lvl w:ilvl="2" w:tplc="14090005" w:tentative="1">
      <w:start w:val="1"/>
      <w:numFmt w:val="bullet"/>
      <w:lvlText w:val=""/>
      <w:lvlJc w:val="left"/>
      <w:pPr>
        <w:ind w:left="1905" w:hanging="360"/>
      </w:pPr>
      <w:rPr>
        <w:rFonts w:ascii="Wingdings" w:hAnsi="Wingdings" w:hint="default"/>
      </w:rPr>
    </w:lvl>
    <w:lvl w:ilvl="3" w:tplc="14090001" w:tentative="1">
      <w:start w:val="1"/>
      <w:numFmt w:val="bullet"/>
      <w:lvlText w:val=""/>
      <w:lvlJc w:val="left"/>
      <w:pPr>
        <w:ind w:left="2625" w:hanging="360"/>
      </w:pPr>
      <w:rPr>
        <w:rFonts w:ascii="Symbol" w:hAnsi="Symbol" w:hint="default"/>
      </w:rPr>
    </w:lvl>
    <w:lvl w:ilvl="4" w:tplc="14090003" w:tentative="1">
      <w:start w:val="1"/>
      <w:numFmt w:val="bullet"/>
      <w:lvlText w:val="o"/>
      <w:lvlJc w:val="left"/>
      <w:pPr>
        <w:ind w:left="3345" w:hanging="360"/>
      </w:pPr>
      <w:rPr>
        <w:rFonts w:ascii="Courier New" w:hAnsi="Courier New" w:cs="Courier New" w:hint="default"/>
      </w:rPr>
    </w:lvl>
    <w:lvl w:ilvl="5" w:tplc="14090005" w:tentative="1">
      <w:start w:val="1"/>
      <w:numFmt w:val="bullet"/>
      <w:lvlText w:val=""/>
      <w:lvlJc w:val="left"/>
      <w:pPr>
        <w:ind w:left="4065" w:hanging="360"/>
      </w:pPr>
      <w:rPr>
        <w:rFonts w:ascii="Wingdings" w:hAnsi="Wingdings" w:hint="default"/>
      </w:rPr>
    </w:lvl>
    <w:lvl w:ilvl="6" w:tplc="14090001" w:tentative="1">
      <w:start w:val="1"/>
      <w:numFmt w:val="bullet"/>
      <w:lvlText w:val=""/>
      <w:lvlJc w:val="left"/>
      <w:pPr>
        <w:ind w:left="4785" w:hanging="360"/>
      </w:pPr>
      <w:rPr>
        <w:rFonts w:ascii="Symbol" w:hAnsi="Symbol" w:hint="default"/>
      </w:rPr>
    </w:lvl>
    <w:lvl w:ilvl="7" w:tplc="14090003" w:tentative="1">
      <w:start w:val="1"/>
      <w:numFmt w:val="bullet"/>
      <w:lvlText w:val="o"/>
      <w:lvlJc w:val="left"/>
      <w:pPr>
        <w:ind w:left="5505" w:hanging="360"/>
      </w:pPr>
      <w:rPr>
        <w:rFonts w:ascii="Courier New" w:hAnsi="Courier New" w:cs="Courier New" w:hint="default"/>
      </w:rPr>
    </w:lvl>
    <w:lvl w:ilvl="8" w:tplc="14090005" w:tentative="1">
      <w:start w:val="1"/>
      <w:numFmt w:val="bullet"/>
      <w:lvlText w:val=""/>
      <w:lvlJc w:val="left"/>
      <w:pPr>
        <w:ind w:left="6225" w:hanging="360"/>
      </w:pPr>
      <w:rPr>
        <w:rFonts w:ascii="Wingdings" w:hAnsi="Wingdings" w:hint="default"/>
      </w:rPr>
    </w:lvl>
  </w:abstractNum>
  <w:abstractNum w:abstractNumId="6" w15:restartNumberingAfterBreak="0">
    <w:nsid w:val="160A3C33"/>
    <w:multiLevelType w:val="multilevel"/>
    <w:tmpl w:val="5D6C87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74E3374"/>
    <w:multiLevelType w:val="hybridMultilevel"/>
    <w:tmpl w:val="376A41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B1A7593"/>
    <w:multiLevelType w:val="hybridMultilevel"/>
    <w:tmpl w:val="B81CC1D6"/>
    <w:lvl w:ilvl="0" w:tplc="1409000F">
      <w:start w:val="1"/>
      <w:numFmt w:val="decimal"/>
      <w:lvlText w:val="%1."/>
      <w:lvlJc w:val="left"/>
      <w:pPr>
        <w:ind w:left="751" w:hanging="360"/>
      </w:pPr>
    </w:lvl>
    <w:lvl w:ilvl="1" w:tplc="14090019" w:tentative="1">
      <w:start w:val="1"/>
      <w:numFmt w:val="lowerLetter"/>
      <w:lvlText w:val="%2."/>
      <w:lvlJc w:val="left"/>
      <w:pPr>
        <w:ind w:left="1471" w:hanging="360"/>
      </w:pPr>
    </w:lvl>
    <w:lvl w:ilvl="2" w:tplc="1409001B" w:tentative="1">
      <w:start w:val="1"/>
      <w:numFmt w:val="lowerRoman"/>
      <w:lvlText w:val="%3."/>
      <w:lvlJc w:val="right"/>
      <w:pPr>
        <w:ind w:left="2191" w:hanging="180"/>
      </w:pPr>
    </w:lvl>
    <w:lvl w:ilvl="3" w:tplc="1409000F" w:tentative="1">
      <w:start w:val="1"/>
      <w:numFmt w:val="decimal"/>
      <w:lvlText w:val="%4."/>
      <w:lvlJc w:val="left"/>
      <w:pPr>
        <w:ind w:left="2911" w:hanging="360"/>
      </w:pPr>
    </w:lvl>
    <w:lvl w:ilvl="4" w:tplc="14090019" w:tentative="1">
      <w:start w:val="1"/>
      <w:numFmt w:val="lowerLetter"/>
      <w:lvlText w:val="%5."/>
      <w:lvlJc w:val="left"/>
      <w:pPr>
        <w:ind w:left="3631" w:hanging="360"/>
      </w:pPr>
    </w:lvl>
    <w:lvl w:ilvl="5" w:tplc="1409001B" w:tentative="1">
      <w:start w:val="1"/>
      <w:numFmt w:val="lowerRoman"/>
      <w:lvlText w:val="%6."/>
      <w:lvlJc w:val="right"/>
      <w:pPr>
        <w:ind w:left="4351" w:hanging="180"/>
      </w:pPr>
    </w:lvl>
    <w:lvl w:ilvl="6" w:tplc="1409000F" w:tentative="1">
      <w:start w:val="1"/>
      <w:numFmt w:val="decimal"/>
      <w:lvlText w:val="%7."/>
      <w:lvlJc w:val="left"/>
      <w:pPr>
        <w:ind w:left="5071" w:hanging="360"/>
      </w:pPr>
    </w:lvl>
    <w:lvl w:ilvl="7" w:tplc="14090019" w:tentative="1">
      <w:start w:val="1"/>
      <w:numFmt w:val="lowerLetter"/>
      <w:lvlText w:val="%8."/>
      <w:lvlJc w:val="left"/>
      <w:pPr>
        <w:ind w:left="5791" w:hanging="360"/>
      </w:pPr>
    </w:lvl>
    <w:lvl w:ilvl="8" w:tplc="1409001B" w:tentative="1">
      <w:start w:val="1"/>
      <w:numFmt w:val="lowerRoman"/>
      <w:lvlText w:val="%9."/>
      <w:lvlJc w:val="right"/>
      <w:pPr>
        <w:ind w:left="6511" w:hanging="180"/>
      </w:pPr>
    </w:lvl>
  </w:abstractNum>
  <w:abstractNum w:abstractNumId="9" w15:restartNumberingAfterBreak="0">
    <w:nsid w:val="1D092BF4"/>
    <w:multiLevelType w:val="hybridMultilevel"/>
    <w:tmpl w:val="F48AEB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0841C00"/>
    <w:multiLevelType w:val="hybridMultilevel"/>
    <w:tmpl w:val="E454F9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19175D3"/>
    <w:multiLevelType w:val="hybridMultilevel"/>
    <w:tmpl w:val="D4101618"/>
    <w:lvl w:ilvl="0" w:tplc="9A32EB88">
      <w:numFmt w:val="bullet"/>
      <w:lvlText w:val="•"/>
      <w:lvlJc w:val="left"/>
      <w:pPr>
        <w:ind w:left="1080" w:hanging="720"/>
      </w:pPr>
      <w:rPr>
        <w:rFonts w:ascii="Calibri" w:eastAsia="Times New Roman"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20013BE"/>
    <w:multiLevelType w:val="hybridMultilevel"/>
    <w:tmpl w:val="FC362C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715068A"/>
    <w:multiLevelType w:val="hybridMultilevel"/>
    <w:tmpl w:val="196EE0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BB03F8D"/>
    <w:multiLevelType w:val="hybridMultilevel"/>
    <w:tmpl w:val="6F3265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C43452B"/>
    <w:multiLevelType w:val="hybridMultilevel"/>
    <w:tmpl w:val="FFE8EFD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6" w15:restartNumberingAfterBreak="0">
    <w:nsid w:val="2EA22B2A"/>
    <w:multiLevelType w:val="hybridMultilevel"/>
    <w:tmpl w:val="676E7E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5A132B0"/>
    <w:multiLevelType w:val="hybridMultilevel"/>
    <w:tmpl w:val="6F5A546C"/>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8F12E5E"/>
    <w:multiLevelType w:val="hybridMultilevel"/>
    <w:tmpl w:val="2BF84F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A3F3DE1"/>
    <w:multiLevelType w:val="hybridMultilevel"/>
    <w:tmpl w:val="524A58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BFE50C6"/>
    <w:multiLevelType w:val="hybridMultilevel"/>
    <w:tmpl w:val="288E58A4"/>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21" w15:restartNumberingAfterBreak="0">
    <w:nsid w:val="3C402B01"/>
    <w:multiLevelType w:val="hybridMultilevel"/>
    <w:tmpl w:val="A43C08C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BAA535C"/>
    <w:multiLevelType w:val="hybridMultilevel"/>
    <w:tmpl w:val="E2B4BC5A"/>
    <w:lvl w:ilvl="0" w:tplc="975AC3D8">
      <w:numFmt w:val="bullet"/>
      <w:lvlText w:val="-"/>
      <w:lvlJc w:val="left"/>
      <w:pPr>
        <w:ind w:left="405" w:hanging="360"/>
      </w:pPr>
      <w:rPr>
        <w:rFonts w:ascii="Calibri" w:eastAsia="Times New Roman" w:hAnsi="Calibri" w:cs="Times New Roman"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23" w15:restartNumberingAfterBreak="0">
    <w:nsid w:val="5C9F07D6"/>
    <w:multiLevelType w:val="hybridMultilevel"/>
    <w:tmpl w:val="9954A2F6"/>
    <w:lvl w:ilvl="0" w:tplc="975AC3D8">
      <w:numFmt w:val="bullet"/>
      <w:lvlText w:val="-"/>
      <w:lvlJc w:val="left"/>
      <w:pPr>
        <w:ind w:left="405" w:hanging="360"/>
      </w:pPr>
      <w:rPr>
        <w:rFonts w:ascii="Calibri" w:eastAsia="Times New Roman"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E551C2B"/>
    <w:multiLevelType w:val="hybridMultilevel"/>
    <w:tmpl w:val="E794ABA6"/>
    <w:lvl w:ilvl="0" w:tplc="22D46592">
      <w:numFmt w:val="bullet"/>
      <w:lvlText w:val="-"/>
      <w:lvlJc w:val="left"/>
      <w:pPr>
        <w:ind w:left="720" w:hanging="360"/>
      </w:pPr>
      <w:rPr>
        <w:rFonts w:ascii="Calibri" w:eastAsia="Calibr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5" w15:restartNumberingAfterBreak="0">
    <w:nsid w:val="6C96107C"/>
    <w:multiLevelType w:val="hybridMultilevel"/>
    <w:tmpl w:val="15B06A36"/>
    <w:lvl w:ilvl="0" w:tplc="14090001">
      <w:start w:val="1"/>
      <w:numFmt w:val="bullet"/>
      <w:lvlText w:val=""/>
      <w:lvlJc w:val="left"/>
      <w:pPr>
        <w:ind w:left="825" w:hanging="360"/>
      </w:pPr>
      <w:rPr>
        <w:rFonts w:ascii="Symbol" w:hAnsi="Symbol" w:hint="default"/>
      </w:rPr>
    </w:lvl>
    <w:lvl w:ilvl="1" w:tplc="14090003" w:tentative="1">
      <w:start w:val="1"/>
      <w:numFmt w:val="bullet"/>
      <w:lvlText w:val="o"/>
      <w:lvlJc w:val="left"/>
      <w:pPr>
        <w:ind w:left="1545" w:hanging="360"/>
      </w:pPr>
      <w:rPr>
        <w:rFonts w:ascii="Courier New" w:hAnsi="Courier New" w:cs="Courier New" w:hint="default"/>
      </w:rPr>
    </w:lvl>
    <w:lvl w:ilvl="2" w:tplc="14090005" w:tentative="1">
      <w:start w:val="1"/>
      <w:numFmt w:val="bullet"/>
      <w:lvlText w:val=""/>
      <w:lvlJc w:val="left"/>
      <w:pPr>
        <w:ind w:left="2265" w:hanging="360"/>
      </w:pPr>
      <w:rPr>
        <w:rFonts w:ascii="Wingdings" w:hAnsi="Wingdings" w:hint="default"/>
      </w:rPr>
    </w:lvl>
    <w:lvl w:ilvl="3" w:tplc="14090001" w:tentative="1">
      <w:start w:val="1"/>
      <w:numFmt w:val="bullet"/>
      <w:lvlText w:val=""/>
      <w:lvlJc w:val="left"/>
      <w:pPr>
        <w:ind w:left="2985" w:hanging="360"/>
      </w:pPr>
      <w:rPr>
        <w:rFonts w:ascii="Symbol" w:hAnsi="Symbol" w:hint="default"/>
      </w:rPr>
    </w:lvl>
    <w:lvl w:ilvl="4" w:tplc="14090003" w:tentative="1">
      <w:start w:val="1"/>
      <w:numFmt w:val="bullet"/>
      <w:lvlText w:val="o"/>
      <w:lvlJc w:val="left"/>
      <w:pPr>
        <w:ind w:left="3705" w:hanging="360"/>
      </w:pPr>
      <w:rPr>
        <w:rFonts w:ascii="Courier New" w:hAnsi="Courier New" w:cs="Courier New" w:hint="default"/>
      </w:rPr>
    </w:lvl>
    <w:lvl w:ilvl="5" w:tplc="14090005" w:tentative="1">
      <w:start w:val="1"/>
      <w:numFmt w:val="bullet"/>
      <w:lvlText w:val=""/>
      <w:lvlJc w:val="left"/>
      <w:pPr>
        <w:ind w:left="4425" w:hanging="360"/>
      </w:pPr>
      <w:rPr>
        <w:rFonts w:ascii="Wingdings" w:hAnsi="Wingdings" w:hint="default"/>
      </w:rPr>
    </w:lvl>
    <w:lvl w:ilvl="6" w:tplc="14090001" w:tentative="1">
      <w:start w:val="1"/>
      <w:numFmt w:val="bullet"/>
      <w:lvlText w:val=""/>
      <w:lvlJc w:val="left"/>
      <w:pPr>
        <w:ind w:left="5145" w:hanging="360"/>
      </w:pPr>
      <w:rPr>
        <w:rFonts w:ascii="Symbol" w:hAnsi="Symbol" w:hint="default"/>
      </w:rPr>
    </w:lvl>
    <w:lvl w:ilvl="7" w:tplc="14090003" w:tentative="1">
      <w:start w:val="1"/>
      <w:numFmt w:val="bullet"/>
      <w:lvlText w:val="o"/>
      <w:lvlJc w:val="left"/>
      <w:pPr>
        <w:ind w:left="5865" w:hanging="360"/>
      </w:pPr>
      <w:rPr>
        <w:rFonts w:ascii="Courier New" w:hAnsi="Courier New" w:cs="Courier New" w:hint="default"/>
      </w:rPr>
    </w:lvl>
    <w:lvl w:ilvl="8" w:tplc="14090005" w:tentative="1">
      <w:start w:val="1"/>
      <w:numFmt w:val="bullet"/>
      <w:lvlText w:val=""/>
      <w:lvlJc w:val="left"/>
      <w:pPr>
        <w:ind w:left="6585" w:hanging="360"/>
      </w:pPr>
      <w:rPr>
        <w:rFonts w:ascii="Wingdings" w:hAnsi="Wingdings" w:hint="default"/>
      </w:rPr>
    </w:lvl>
  </w:abstractNum>
  <w:abstractNum w:abstractNumId="26" w15:restartNumberingAfterBreak="0">
    <w:nsid w:val="6CCB7ADA"/>
    <w:multiLevelType w:val="hybridMultilevel"/>
    <w:tmpl w:val="7B2CAEFA"/>
    <w:lvl w:ilvl="0" w:tplc="9A32EB88">
      <w:numFmt w:val="bullet"/>
      <w:lvlText w:val="•"/>
      <w:lvlJc w:val="left"/>
      <w:pPr>
        <w:ind w:left="1080" w:hanging="720"/>
      </w:pPr>
      <w:rPr>
        <w:rFonts w:ascii="Calibri" w:eastAsia="Times New Roman"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69E58A9"/>
    <w:multiLevelType w:val="hybridMultilevel"/>
    <w:tmpl w:val="22486974"/>
    <w:lvl w:ilvl="0" w:tplc="098C9948">
      <w:start w:val="1"/>
      <w:numFmt w:val="decimal"/>
      <w:lvlText w:val="%1."/>
      <w:lvlJc w:val="left"/>
      <w:pPr>
        <w:ind w:left="720" w:hanging="360"/>
      </w:pPr>
      <w:rPr>
        <w:b w:val="0"/>
        <w:i/>
        <w:color w:val="808080" w:themeColor="background1" w:themeShade="80"/>
        <w:sz w:val="16"/>
        <w:szCs w:val="1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C8D136D"/>
    <w:multiLevelType w:val="hybridMultilevel"/>
    <w:tmpl w:val="20781A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103448070">
    <w:abstractNumId w:val="27"/>
  </w:num>
  <w:num w:numId="2" w16cid:durableId="1758600169">
    <w:abstractNumId w:val="9"/>
  </w:num>
  <w:num w:numId="3" w16cid:durableId="628240122">
    <w:abstractNumId w:val="22"/>
  </w:num>
  <w:num w:numId="4" w16cid:durableId="84495845">
    <w:abstractNumId w:val="23"/>
  </w:num>
  <w:num w:numId="5" w16cid:durableId="1952474684">
    <w:abstractNumId w:val="5"/>
  </w:num>
  <w:num w:numId="6" w16cid:durableId="1872452284">
    <w:abstractNumId w:val="25"/>
  </w:num>
  <w:num w:numId="7" w16cid:durableId="557663993">
    <w:abstractNumId w:val="16"/>
  </w:num>
  <w:num w:numId="8" w16cid:durableId="2043480349">
    <w:abstractNumId w:val="4"/>
  </w:num>
  <w:num w:numId="9" w16cid:durableId="350110509">
    <w:abstractNumId w:val="2"/>
  </w:num>
  <w:num w:numId="10" w16cid:durableId="2014650719">
    <w:abstractNumId w:val="11"/>
  </w:num>
  <w:num w:numId="11" w16cid:durableId="1797749429">
    <w:abstractNumId w:val="26"/>
  </w:num>
  <w:num w:numId="12" w16cid:durableId="2074966482">
    <w:abstractNumId w:val="1"/>
  </w:num>
  <w:num w:numId="13" w16cid:durableId="703671771">
    <w:abstractNumId w:val="14"/>
  </w:num>
  <w:num w:numId="14" w16cid:durableId="960460668">
    <w:abstractNumId w:val="24"/>
  </w:num>
  <w:num w:numId="15" w16cid:durableId="8005405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3259256">
    <w:abstractNumId w:val="0"/>
  </w:num>
  <w:num w:numId="17" w16cid:durableId="1704592332">
    <w:abstractNumId w:val="15"/>
  </w:num>
  <w:num w:numId="18" w16cid:durableId="1045908193">
    <w:abstractNumId w:val="10"/>
  </w:num>
  <w:num w:numId="19" w16cid:durableId="407045597">
    <w:abstractNumId w:val="6"/>
  </w:num>
  <w:num w:numId="20" w16cid:durableId="391315648">
    <w:abstractNumId w:val="8"/>
  </w:num>
  <w:num w:numId="21" w16cid:durableId="2134784020">
    <w:abstractNumId w:val="12"/>
  </w:num>
  <w:num w:numId="22" w16cid:durableId="123886239">
    <w:abstractNumId w:val="3"/>
  </w:num>
  <w:num w:numId="23" w16cid:durableId="17313232">
    <w:abstractNumId w:val="19"/>
  </w:num>
  <w:num w:numId="24" w16cid:durableId="610160931">
    <w:abstractNumId w:val="21"/>
  </w:num>
  <w:num w:numId="25" w16cid:durableId="1402630302">
    <w:abstractNumId w:val="28"/>
  </w:num>
  <w:num w:numId="26" w16cid:durableId="500580320">
    <w:abstractNumId w:val="7"/>
  </w:num>
  <w:num w:numId="27" w16cid:durableId="1161195016">
    <w:abstractNumId w:val="17"/>
  </w:num>
  <w:num w:numId="28" w16cid:durableId="1603610409">
    <w:abstractNumId w:val="18"/>
  </w:num>
  <w:num w:numId="29" w16cid:durableId="1367829560">
    <w:abstractNumId w:val="20"/>
  </w:num>
  <w:num w:numId="30" w16cid:durableId="668503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C0"/>
    <w:rsid w:val="00002552"/>
    <w:rsid w:val="000250EF"/>
    <w:rsid w:val="0002694D"/>
    <w:rsid w:val="00045AF3"/>
    <w:rsid w:val="000609EE"/>
    <w:rsid w:val="00060A3D"/>
    <w:rsid w:val="00062A73"/>
    <w:rsid w:val="00074D80"/>
    <w:rsid w:val="00077711"/>
    <w:rsid w:val="0008043A"/>
    <w:rsid w:val="00081657"/>
    <w:rsid w:val="00082925"/>
    <w:rsid w:val="000844B3"/>
    <w:rsid w:val="00091402"/>
    <w:rsid w:val="0009218A"/>
    <w:rsid w:val="0009421A"/>
    <w:rsid w:val="000A00CB"/>
    <w:rsid w:val="000A4086"/>
    <w:rsid w:val="000C2BF4"/>
    <w:rsid w:val="000D3BAC"/>
    <w:rsid w:val="000D6123"/>
    <w:rsid w:val="000E1440"/>
    <w:rsid w:val="00112260"/>
    <w:rsid w:val="0012303C"/>
    <w:rsid w:val="00123C2C"/>
    <w:rsid w:val="00134993"/>
    <w:rsid w:val="00136BF8"/>
    <w:rsid w:val="00141CFA"/>
    <w:rsid w:val="00146F27"/>
    <w:rsid w:val="00165354"/>
    <w:rsid w:val="00166BB9"/>
    <w:rsid w:val="00171339"/>
    <w:rsid w:val="001A1DC8"/>
    <w:rsid w:val="001B4A7C"/>
    <w:rsid w:val="001B51EE"/>
    <w:rsid w:val="001C1E24"/>
    <w:rsid w:val="001C36C9"/>
    <w:rsid w:val="001C5EA9"/>
    <w:rsid w:val="001C60B3"/>
    <w:rsid w:val="001D2833"/>
    <w:rsid w:val="001E00CE"/>
    <w:rsid w:val="001E2DA3"/>
    <w:rsid w:val="001E5771"/>
    <w:rsid w:val="002204AB"/>
    <w:rsid w:val="002230CF"/>
    <w:rsid w:val="00227C10"/>
    <w:rsid w:val="0024387A"/>
    <w:rsid w:val="002447AE"/>
    <w:rsid w:val="00244E7C"/>
    <w:rsid w:val="00254C27"/>
    <w:rsid w:val="0026434E"/>
    <w:rsid w:val="00265296"/>
    <w:rsid w:val="00270803"/>
    <w:rsid w:val="00276F8C"/>
    <w:rsid w:val="002821A7"/>
    <w:rsid w:val="00290572"/>
    <w:rsid w:val="002A28B2"/>
    <w:rsid w:val="002A5FC1"/>
    <w:rsid w:val="002C3746"/>
    <w:rsid w:val="002D353E"/>
    <w:rsid w:val="002E0FE4"/>
    <w:rsid w:val="002E5B07"/>
    <w:rsid w:val="002F5263"/>
    <w:rsid w:val="003068CC"/>
    <w:rsid w:val="003124CC"/>
    <w:rsid w:val="00313284"/>
    <w:rsid w:val="003351FC"/>
    <w:rsid w:val="00337F54"/>
    <w:rsid w:val="00337F7E"/>
    <w:rsid w:val="00341B70"/>
    <w:rsid w:val="00347E22"/>
    <w:rsid w:val="0035131B"/>
    <w:rsid w:val="00357580"/>
    <w:rsid w:val="003609B1"/>
    <w:rsid w:val="003668D8"/>
    <w:rsid w:val="00374230"/>
    <w:rsid w:val="00381ECD"/>
    <w:rsid w:val="0038568B"/>
    <w:rsid w:val="003A4010"/>
    <w:rsid w:val="003C1FF2"/>
    <w:rsid w:val="003C281B"/>
    <w:rsid w:val="003C5ED5"/>
    <w:rsid w:val="003D5BBD"/>
    <w:rsid w:val="003D5BDF"/>
    <w:rsid w:val="003D7817"/>
    <w:rsid w:val="003E0D29"/>
    <w:rsid w:val="003E110A"/>
    <w:rsid w:val="003E5B10"/>
    <w:rsid w:val="003F75C6"/>
    <w:rsid w:val="004108ED"/>
    <w:rsid w:val="00412C41"/>
    <w:rsid w:val="00413EC9"/>
    <w:rsid w:val="00416839"/>
    <w:rsid w:val="00416AC4"/>
    <w:rsid w:val="00425EB5"/>
    <w:rsid w:val="00432C70"/>
    <w:rsid w:val="0043528A"/>
    <w:rsid w:val="00446F0B"/>
    <w:rsid w:val="00452851"/>
    <w:rsid w:val="00452CE8"/>
    <w:rsid w:val="004647EC"/>
    <w:rsid w:val="00466AEA"/>
    <w:rsid w:val="0047032E"/>
    <w:rsid w:val="00470A14"/>
    <w:rsid w:val="00472F63"/>
    <w:rsid w:val="00483051"/>
    <w:rsid w:val="00485F98"/>
    <w:rsid w:val="004953AC"/>
    <w:rsid w:val="004A2C29"/>
    <w:rsid w:val="004B4CB7"/>
    <w:rsid w:val="004C083E"/>
    <w:rsid w:val="004C0A4E"/>
    <w:rsid w:val="004C1EAC"/>
    <w:rsid w:val="004C52D8"/>
    <w:rsid w:val="004C53A4"/>
    <w:rsid w:val="004D7596"/>
    <w:rsid w:val="004E1887"/>
    <w:rsid w:val="004F2D5D"/>
    <w:rsid w:val="004F2F22"/>
    <w:rsid w:val="004F2F45"/>
    <w:rsid w:val="005008E2"/>
    <w:rsid w:val="005149E1"/>
    <w:rsid w:val="00514A9C"/>
    <w:rsid w:val="005211C0"/>
    <w:rsid w:val="005219D6"/>
    <w:rsid w:val="00524D31"/>
    <w:rsid w:val="00534E42"/>
    <w:rsid w:val="005444AB"/>
    <w:rsid w:val="00545D2E"/>
    <w:rsid w:val="00545DA2"/>
    <w:rsid w:val="00556718"/>
    <w:rsid w:val="005577A6"/>
    <w:rsid w:val="00557CE8"/>
    <w:rsid w:val="00563776"/>
    <w:rsid w:val="00567EC4"/>
    <w:rsid w:val="00570DC9"/>
    <w:rsid w:val="00571BD6"/>
    <w:rsid w:val="005729FE"/>
    <w:rsid w:val="0057783F"/>
    <w:rsid w:val="00581D51"/>
    <w:rsid w:val="00584E84"/>
    <w:rsid w:val="00587ADB"/>
    <w:rsid w:val="0059132D"/>
    <w:rsid w:val="005964B0"/>
    <w:rsid w:val="005A01B9"/>
    <w:rsid w:val="005B0BEF"/>
    <w:rsid w:val="005B1C8C"/>
    <w:rsid w:val="005B4362"/>
    <w:rsid w:val="005C12EF"/>
    <w:rsid w:val="005D0A83"/>
    <w:rsid w:val="00605EBA"/>
    <w:rsid w:val="00632B2A"/>
    <w:rsid w:val="006424C3"/>
    <w:rsid w:val="00643ED1"/>
    <w:rsid w:val="00644F7E"/>
    <w:rsid w:val="00646CA8"/>
    <w:rsid w:val="00662659"/>
    <w:rsid w:val="006650C2"/>
    <w:rsid w:val="00681524"/>
    <w:rsid w:val="006827E6"/>
    <w:rsid w:val="006D24EA"/>
    <w:rsid w:val="006D3C9B"/>
    <w:rsid w:val="006F45AE"/>
    <w:rsid w:val="006F5CA7"/>
    <w:rsid w:val="006F713F"/>
    <w:rsid w:val="007017D1"/>
    <w:rsid w:val="00705FB7"/>
    <w:rsid w:val="00714ADB"/>
    <w:rsid w:val="00721EFD"/>
    <w:rsid w:val="00742681"/>
    <w:rsid w:val="00746676"/>
    <w:rsid w:val="00753FD1"/>
    <w:rsid w:val="00763ECB"/>
    <w:rsid w:val="00771FC6"/>
    <w:rsid w:val="007733F0"/>
    <w:rsid w:val="00773F90"/>
    <w:rsid w:val="00783AC9"/>
    <w:rsid w:val="00786490"/>
    <w:rsid w:val="007928DC"/>
    <w:rsid w:val="007A2BEE"/>
    <w:rsid w:val="007B2504"/>
    <w:rsid w:val="007B3B45"/>
    <w:rsid w:val="007C4C1A"/>
    <w:rsid w:val="007D3040"/>
    <w:rsid w:val="007E10BE"/>
    <w:rsid w:val="007F5776"/>
    <w:rsid w:val="0081163E"/>
    <w:rsid w:val="00835411"/>
    <w:rsid w:val="00836F66"/>
    <w:rsid w:val="0084192F"/>
    <w:rsid w:val="008603C9"/>
    <w:rsid w:val="00862FBD"/>
    <w:rsid w:val="008A07D9"/>
    <w:rsid w:val="008A7B97"/>
    <w:rsid w:val="008C19D5"/>
    <w:rsid w:val="008C2303"/>
    <w:rsid w:val="008C3A93"/>
    <w:rsid w:val="008C609C"/>
    <w:rsid w:val="008E143D"/>
    <w:rsid w:val="008F0878"/>
    <w:rsid w:val="008F2D58"/>
    <w:rsid w:val="00920D93"/>
    <w:rsid w:val="009304CC"/>
    <w:rsid w:val="00930BEA"/>
    <w:rsid w:val="00934AB2"/>
    <w:rsid w:val="009449D4"/>
    <w:rsid w:val="00954F91"/>
    <w:rsid w:val="00961219"/>
    <w:rsid w:val="009617AB"/>
    <w:rsid w:val="009647A9"/>
    <w:rsid w:val="0098757D"/>
    <w:rsid w:val="00992EDF"/>
    <w:rsid w:val="009939C0"/>
    <w:rsid w:val="009953AF"/>
    <w:rsid w:val="009B189C"/>
    <w:rsid w:val="009C5AE7"/>
    <w:rsid w:val="009C6AD7"/>
    <w:rsid w:val="009D7353"/>
    <w:rsid w:val="009E2C6C"/>
    <w:rsid w:val="009F2454"/>
    <w:rsid w:val="009F5189"/>
    <w:rsid w:val="009F66AE"/>
    <w:rsid w:val="00A02394"/>
    <w:rsid w:val="00A06866"/>
    <w:rsid w:val="00A11DD9"/>
    <w:rsid w:val="00A26A06"/>
    <w:rsid w:val="00A31BA0"/>
    <w:rsid w:val="00A32474"/>
    <w:rsid w:val="00A42A38"/>
    <w:rsid w:val="00A444DB"/>
    <w:rsid w:val="00A53852"/>
    <w:rsid w:val="00A544F8"/>
    <w:rsid w:val="00A56AE1"/>
    <w:rsid w:val="00A8507B"/>
    <w:rsid w:val="00A8582F"/>
    <w:rsid w:val="00A939DF"/>
    <w:rsid w:val="00A9471B"/>
    <w:rsid w:val="00A94E55"/>
    <w:rsid w:val="00AA1A29"/>
    <w:rsid w:val="00AA2165"/>
    <w:rsid w:val="00AA31D1"/>
    <w:rsid w:val="00AB1DB8"/>
    <w:rsid w:val="00AC4EEB"/>
    <w:rsid w:val="00AD0E63"/>
    <w:rsid w:val="00AE6019"/>
    <w:rsid w:val="00AE6081"/>
    <w:rsid w:val="00AF0E42"/>
    <w:rsid w:val="00B01533"/>
    <w:rsid w:val="00B122B0"/>
    <w:rsid w:val="00B12F26"/>
    <w:rsid w:val="00B17A6A"/>
    <w:rsid w:val="00B20F1D"/>
    <w:rsid w:val="00B229BF"/>
    <w:rsid w:val="00B33B3A"/>
    <w:rsid w:val="00B36DFF"/>
    <w:rsid w:val="00B477C3"/>
    <w:rsid w:val="00B50531"/>
    <w:rsid w:val="00B61122"/>
    <w:rsid w:val="00B6444B"/>
    <w:rsid w:val="00B64C5F"/>
    <w:rsid w:val="00B66384"/>
    <w:rsid w:val="00B665B2"/>
    <w:rsid w:val="00B6744D"/>
    <w:rsid w:val="00B75401"/>
    <w:rsid w:val="00B81BB3"/>
    <w:rsid w:val="00B906F7"/>
    <w:rsid w:val="00BA1614"/>
    <w:rsid w:val="00BA32D9"/>
    <w:rsid w:val="00BA46FE"/>
    <w:rsid w:val="00BA4AD6"/>
    <w:rsid w:val="00BA6FCA"/>
    <w:rsid w:val="00BA73C6"/>
    <w:rsid w:val="00BB04EB"/>
    <w:rsid w:val="00BB1364"/>
    <w:rsid w:val="00BB7279"/>
    <w:rsid w:val="00BC5054"/>
    <w:rsid w:val="00BD4C89"/>
    <w:rsid w:val="00BE4B61"/>
    <w:rsid w:val="00C13BCE"/>
    <w:rsid w:val="00C14DEC"/>
    <w:rsid w:val="00C1548D"/>
    <w:rsid w:val="00C20DF3"/>
    <w:rsid w:val="00C22F3F"/>
    <w:rsid w:val="00C31E6F"/>
    <w:rsid w:val="00C33AEB"/>
    <w:rsid w:val="00C54898"/>
    <w:rsid w:val="00C6196E"/>
    <w:rsid w:val="00C800F3"/>
    <w:rsid w:val="00C83676"/>
    <w:rsid w:val="00C94377"/>
    <w:rsid w:val="00C97444"/>
    <w:rsid w:val="00CA1229"/>
    <w:rsid w:val="00CB76FB"/>
    <w:rsid w:val="00CC283C"/>
    <w:rsid w:val="00CC7ADF"/>
    <w:rsid w:val="00CD7BF7"/>
    <w:rsid w:val="00CE688D"/>
    <w:rsid w:val="00CF49C6"/>
    <w:rsid w:val="00D062AD"/>
    <w:rsid w:val="00D11543"/>
    <w:rsid w:val="00D20DFF"/>
    <w:rsid w:val="00D2730D"/>
    <w:rsid w:val="00D27FBB"/>
    <w:rsid w:val="00D31B2E"/>
    <w:rsid w:val="00D36743"/>
    <w:rsid w:val="00D43127"/>
    <w:rsid w:val="00D56DA7"/>
    <w:rsid w:val="00D60F09"/>
    <w:rsid w:val="00D82717"/>
    <w:rsid w:val="00D90453"/>
    <w:rsid w:val="00D9601C"/>
    <w:rsid w:val="00DA0ADA"/>
    <w:rsid w:val="00DB1284"/>
    <w:rsid w:val="00DD0FB6"/>
    <w:rsid w:val="00DE04E6"/>
    <w:rsid w:val="00DF0687"/>
    <w:rsid w:val="00E018C4"/>
    <w:rsid w:val="00E02ADD"/>
    <w:rsid w:val="00E047E2"/>
    <w:rsid w:val="00E21000"/>
    <w:rsid w:val="00E21D0B"/>
    <w:rsid w:val="00E279C0"/>
    <w:rsid w:val="00E30F00"/>
    <w:rsid w:val="00E44BC6"/>
    <w:rsid w:val="00E46C06"/>
    <w:rsid w:val="00E61D1B"/>
    <w:rsid w:val="00E63C3D"/>
    <w:rsid w:val="00E723B7"/>
    <w:rsid w:val="00E73AEE"/>
    <w:rsid w:val="00E748A6"/>
    <w:rsid w:val="00E75BBF"/>
    <w:rsid w:val="00E81259"/>
    <w:rsid w:val="00E901F6"/>
    <w:rsid w:val="00E90DB0"/>
    <w:rsid w:val="00EA4E0E"/>
    <w:rsid w:val="00EA76A3"/>
    <w:rsid w:val="00EC2950"/>
    <w:rsid w:val="00ED1992"/>
    <w:rsid w:val="00EE1B8A"/>
    <w:rsid w:val="00EE26FF"/>
    <w:rsid w:val="00EE6158"/>
    <w:rsid w:val="00EF4028"/>
    <w:rsid w:val="00F00163"/>
    <w:rsid w:val="00F0029C"/>
    <w:rsid w:val="00F00B5F"/>
    <w:rsid w:val="00F03ED0"/>
    <w:rsid w:val="00F11598"/>
    <w:rsid w:val="00F12476"/>
    <w:rsid w:val="00F16322"/>
    <w:rsid w:val="00F22919"/>
    <w:rsid w:val="00F31CD5"/>
    <w:rsid w:val="00F35AB5"/>
    <w:rsid w:val="00F54CBD"/>
    <w:rsid w:val="00F60A06"/>
    <w:rsid w:val="00F65518"/>
    <w:rsid w:val="00F865A5"/>
    <w:rsid w:val="00F873A4"/>
    <w:rsid w:val="00F92C03"/>
    <w:rsid w:val="00FA00DF"/>
    <w:rsid w:val="00FA4160"/>
    <w:rsid w:val="00FC1324"/>
    <w:rsid w:val="00FC28B1"/>
    <w:rsid w:val="00FC521F"/>
    <w:rsid w:val="00FD5605"/>
    <w:rsid w:val="00FE25AF"/>
    <w:rsid w:val="00FF7D73"/>
    <w:rsid w:val="0CF6101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AB81F1"/>
  <w15:chartTrackingRefBased/>
  <w15:docId w15:val="{2596A2D9-E844-4F6C-8104-5BC0E38A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68B"/>
    <w:rPr>
      <w:rFonts w:ascii="Calibri Light" w:eastAsiaTheme="minorEastAsia" w:hAnsi="Calibri Light"/>
      <w:sz w:val="24"/>
      <w:szCs w:val="24"/>
    </w:rPr>
  </w:style>
  <w:style w:type="paragraph" w:styleId="Heading1">
    <w:name w:val="heading 1"/>
    <w:basedOn w:val="Normal"/>
    <w:next w:val="Normal"/>
    <w:link w:val="Heading1Char"/>
    <w:uiPriority w:val="9"/>
    <w:qFormat/>
    <w:rsid w:val="00074D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5A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4D75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tinylink">
    <w:name w:val="tinylink"/>
    <w:basedOn w:val="DefaultParagraphFont"/>
  </w:style>
  <w:style w:type="character" w:customStyle="1" w:styleId="user-hover">
    <w:name w:val="user-hover"/>
    <w:basedOn w:val="DefaultParagraphFont"/>
  </w:style>
  <w:style w:type="paragraph" w:styleId="NormalWeb">
    <w:name w:val="Normal (Web)"/>
    <w:basedOn w:val="Normal"/>
    <w:uiPriority w:val="99"/>
    <w:unhideWhenUsed/>
    <w:pPr>
      <w:spacing w:before="100" w:beforeAutospacing="1" w:after="100" w:afterAutospacing="1"/>
    </w:pPr>
  </w:style>
  <w:style w:type="paragraph" w:styleId="PlainText">
    <w:name w:val="Plain Text"/>
    <w:basedOn w:val="Normal"/>
    <w:link w:val="PlainTextChar"/>
    <w:uiPriority w:val="99"/>
    <w:unhideWhenUsed/>
    <w:rsid w:val="004647EC"/>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4647EC"/>
    <w:rPr>
      <w:rFonts w:ascii="Calibri" w:eastAsiaTheme="minorHAnsi" w:hAnsi="Calibri" w:cstheme="minorBidi"/>
      <w:sz w:val="22"/>
      <w:szCs w:val="21"/>
      <w:lang w:eastAsia="en-US"/>
    </w:rPr>
  </w:style>
  <w:style w:type="paragraph" w:styleId="ListParagraph">
    <w:name w:val="List Paragraph"/>
    <w:aliases w:val="List 1,Other List,List Paragraph numbered,Rec para,Minor List,Subtitle Cover Page"/>
    <w:basedOn w:val="Normal"/>
    <w:link w:val="ListParagraphChar"/>
    <w:uiPriority w:val="34"/>
    <w:qFormat/>
    <w:rsid w:val="003A4010"/>
    <w:pPr>
      <w:ind w:left="720"/>
      <w:contextualSpacing/>
    </w:pPr>
  </w:style>
  <w:style w:type="character" w:customStyle="1" w:styleId="Heading1Char">
    <w:name w:val="Heading 1 Char"/>
    <w:basedOn w:val="DefaultParagraphFont"/>
    <w:link w:val="Heading1"/>
    <w:uiPriority w:val="9"/>
    <w:rsid w:val="00074D8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45AF3"/>
    <w:pPr>
      <w:tabs>
        <w:tab w:val="center" w:pos="4513"/>
        <w:tab w:val="right" w:pos="9026"/>
      </w:tabs>
    </w:pPr>
  </w:style>
  <w:style w:type="character" w:customStyle="1" w:styleId="HeaderChar">
    <w:name w:val="Header Char"/>
    <w:basedOn w:val="DefaultParagraphFont"/>
    <w:link w:val="Header"/>
    <w:uiPriority w:val="99"/>
    <w:rsid w:val="00045AF3"/>
    <w:rPr>
      <w:rFonts w:eastAsiaTheme="minorEastAsia"/>
      <w:sz w:val="24"/>
      <w:szCs w:val="24"/>
    </w:rPr>
  </w:style>
  <w:style w:type="paragraph" w:styleId="Footer">
    <w:name w:val="footer"/>
    <w:basedOn w:val="Normal"/>
    <w:link w:val="FooterChar"/>
    <w:uiPriority w:val="99"/>
    <w:unhideWhenUsed/>
    <w:rsid w:val="00045AF3"/>
    <w:pPr>
      <w:tabs>
        <w:tab w:val="center" w:pos="4513"/>
        <w:tab w:val="right" w:pos="9026"/>
      </w:tabs>
    </w:pPr>
  </w:style>
  <w:style w:type="character" w:customStyle="1" w:styleId="FooterChar">
    <w:name w:val="Footer Char"/>
    <w:basedOn w:val="DefaultParagraphFont"/>
    <w:link w:val="Footer"/>
    <w:uiPriority w:val="99"/>
    <w:rsid w:val="00045AF3"/>
    <w:rPr>
      <w:rFonts w:eastAsiaTheme="minorEastAsia"/>
      <w:sz w:val="24"/>
      <w:szCs w:val="24"/>
    </w:rPr>
  </w:style>
  <w:style w:type="character" w:customStyle="1" w:styleId="Heading2Char">
    <w:name w:val="Heading 2 Char"/>
    <w:basedOn w:val="DefaultParagraphFont"/>
    <w:link w:val="Heading2"/>
    <w:uiPriority w:val="9"/>
    <w:rsid w:val="00F865A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75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5C6"/>
    <w:rPr>
      <w:rFonts w:ascii="Segoe UI" w:eastAsiaTheme="minorEastAsia" w:hAnsi="Segoe UI" w:cs="Segoe UI"/>
      <w:sz w:val="18"/>
      <w:szCs w:val="18"/>
    </w:rPr>
  </w:style>
  <w:style w:type="character" w:styleId="Emphasis">
    <w:name w:val="Emphasis"/>
    <w:basedOn w:val="DefaultParagraphFont"/>
    <w:uiPriority w:val="20"/>
    <w:qFormat/>
    <w:rsid w:val="00BA73C6"/>
    <w:rPr>
      <w:i/>
      <w:iCs/>
    </w:rPr>
  </w:style>
  <w:style w:type="paragraph" w:customStyle="1" w:styleId="zInstructions">
    <w:name w:val="z_Instructions"/>
    <w:basedOn w:val="BodyText"/>
    <w:rsid w:val="00270803"/>
    <w:pPr>
      <w:spacing w:after="180" w:line="288" w:lineRule="atLeast"/>
    </w:pPr>
    <w:rPr>
      <w:rFonts w:ascii="Calibri" w:eastAsia="Times New Roman" w:hAnsi="Calibri"/>
      <w:i/>
      <w:color w:val="FF0000"/>
      <w:sz w:val="20"/>
      <w:lang w:eastAsia="en-GB"/>
    </w:rPr>
  </w:style>
  <w:style w:type="paragraph" w:styleId="Title">
    <w:name w:val="Title"/>
    <w:basedOn w:val="Normal"/>
    <w:link w:val="TitleChar"/>
    <w:qFormat/>
    <w:rsid w:val="00270803"/>
    <w:pPr>
      <w:spacing w:before="360" w:after="240" w:line="259" w:lineRule="auto"/>
      <w:jc w:val="both"/>
    </w:pPr>
    <w:rPr>
      <w:rFonts w:ascii="Arial Narrow" w:eastAsiaTheme="minorHAnsi" w:hAnsi="Arial Narrow" w:cs="Arial"/>
      <w:b/>
      <w:bCs/>
      <w:kern w:val="28"/>
      <w:sz w:val="36"/>
      <w:szCs w:val="32"/>
      <w:lang w:eastAsia="en-US"/>
    </w:rPr>
  </w:style>
  <w:style w:type="character" w:customStyle="1" w:styleId="TitleChar">
    <w:name w:val="Title Char"/>
    <w:basedOn w:val="DefaultParagraphFont"/>
    <w:link w:val="Title"/>
    <w:rsid w:val="00270803"/>
    <w:rPr>
      <w:rFonts w:ascii="Arial Narrow" w:eastAsiaTheme="minorHAnsi" w:hAnsi="Arial Narrow" w:cs="Arial"/>
      <w:b/>
      <w:bCs/>
      <w:kern w:val="28"/>
      <w:sz w:val="36"/>
      <w:szCs w:val="32"/>
      <w:lang w:eastAsia="en-US"/>
    </w:rPr>
  </w:style>
  <w:style w:type="paragraph" w:styleId="BodyText">
    <w:name w:val="Body Text"/>
    <w:basedOn w:val="Normal"/>
    <w:link w:val="BodyTextChar"/>
    <w:uiPriority w:val="99"/>
    <w:semiHidden/>
    <w:unhideWhenUsed/>
    <w:rsid w:val="00270803"/>
    <w:pPr>
      <w:spacing w:after="120"/>
    </w:pPr>
  </w:style>
  <w:style w:type="character" w:customStyle="1" w:styleId="BodyTextChar">
    <w:name w:val="Body Text Char"/>
    <w:basedOn w:val="DefaultParagraphFont"/>
    <w:link w:val="BodyText"/>
    <w:uiPriority w:val="99"/>
    <w:semiHidden/>
    <w:rsid w:val="00270803"/>
    <w:rPr>
      <w:rFonts w:eastAsiaTheme="minorEastAsia"/>
      <w:sz w:val="24"/>
      <w:szCs w:val="24"/>
    </w:rPr>
  </w:style>
  <w:style w:type="character" w:styleId="UnresolvedMention">
    <w:name w:val="Unresolved Mention"/>
    <w:basedOn w:val="DefaultParagraphFont"/>
    <w:uiPriority w:val="99"/>
    <w:semiHidden/>
    <w:unhideWhenUsed/>
    <w:rsid w:val="00416839"/>
    <w:rPr>
      <w:color w:val="605E5C"/>
      <w:shd w:val="clear" w:color="auto" w:fill="E1DFDD"/>
    </w:rPr>
  </w:style>
  <w:style w:type="character" w:styleId="CommentReference">
    <w:name w:val="annotation reference"/>
    <w:basedOn w:val="DefaultParagraphFont"/>
    <w:uiPriority w:val="99"/>
    <w:semiHidden/>
    <w:unhideWhenUsed/>
    <w:rsid w:val="00D062AD"/>
    <w:rPr>
      <w:sz w:val="16"/>
      <w:szCs w:val="16"/>
    </w:rPr>
  </w:style>
  <w:style w:type="paragraph" w:styleId="CommentText">
    <w:name w:val="annotation text"/>
    <w:basedOn w:val="Normal"/>
    <w:link w:val="CommentTextChar"/>
    <w:uiPriority w:val="99"/>
    <w:semiHidden/>
    <w:unhideWhenUsed/>
    <w:rsid w:val="00D062AD"/>
    <w:rPr>
      <w:sz w:val="20"/>
      <w:szCs w:val="20"/>
    </w:rPr>
  </w:style>
  <w:style w:type="character" w:customStyle="1" w:styleId="CommentTextChar">
    <w:name w:val="Comment Text Char"/>
    <w:basedOn w:val="DefaultParagraphFont"/>
    <w:link w:val="CommentText"/>
    <w:uiPriority w:val="99"/>
    <w:semiHidden/>
    <w:rsid w:val="00D062AD"/>
    <w:rPr>
      <w:rFonts w:eastAsiaTheme="minorEastAsia"/>
    </w:rPr>
  </w:style>
  <w:style w:type="paragraph" w:styleId="CommentSubject">
    <w:name w:val="annotation subject"/>
    <w:basedOn w:val="CommentText"/>
    <w:next w:val="CommentText"/>
    <w:link w:val="CommentSubjectChar"/>
    <w:uiPriority w:val="99"/>
    <w:semiHidden/>
    <w:unhideWhenUsed/>
    <w:rsid w:val="00D062AD"/>
    <w:rPr>
      <w:b/>
      <w:bCs/>
    </w:rPr>
  </w:style>
  <w:style w:type="character" w:customStyle="1" w:styleId="CommentSubjectChar">
    <w:name w:val="Comment Subject Char"/>
    <w:basedOn w:val="CommentTextChar"/>
    <w:link w:val="CommentSubject"/>
    <w:uiPriority w:val="99"/>
    <w:semiHidden/>
    <w:rsid w:val="00D062AD"/>
    <w:rPr>
      <w:rFonts w:eastAsiaTheme="minorEastAsia"/>
      <w:b/>
      <w:bCs/>
    </w:rPr>
  </w:style>
  <w:style w:type="character" w:customStyle="1" w:styleId="ListParagraphChar">
    <w:name w:val="List Paragraph Char"/>
    <w:aliases w:val="List 1 Char,Other List Char,List Paragraph numbered Char,Rec para Char,Minor List Char,Subtitle Cover Page Char"/>
    <w:basedOn w:val="DefaultParagraphFont"/>
    <w:link w:val="ListParagraph"/>
    <w:uiPriority w:val="34"/>
    <w:locked/>
    <w:rsid w:val="00466AEA"/>
    <w:rPr>
      <w:rFonts w:ascii="Calibri Light" w:eastAsiaTheme="minorEastAsia" w:hAnsi="Calibri Light"/>
      <w:sz w:val="24"/>
      <w:szCs w:val="24"/>
    </w:rPr>
  </w:style>
  <w:style w:type="character" w:customStyle="1" w:styleId="Heading4Char">
    <w:name w:val="Heading 4 Char"/>
    <w:basedOn w:val="DefaultParagraphFont"/>
    <w:link w:val="Heading4"/>
    <w:uiPriority w:val="9"/>
    <w:semiHidden/>
    <w:rsid w:val="004D7596"/>
    <w:rPr>
      <w:rFonts w:asciiTheme="majorHAnsi" w:eastAsiaTheme="majorEastAsia" w:hAnsiTheme="majorHAnsi" w:cstheme="majorBidi"/>
      <w:i/>
      <w:iCs/>
      <w:color w:val="2E74B5" w:themeColor="accent1" w:themeShade="BF"/>
      <w:sz w:val="24"/>
      <w:szCs w:val="24"/>
    </w:rPr>
  </w:style>
  <w:style w:type="table" w:styleId="TableGrid">
    <w:name w:val="Table Grid"/>
    <w:basedOn w:val="TableNormal"/>
    <w:uiPriority w:val="39"/>
    <w:rsid w:val="00643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9218A"/>
  </w:style>
  <w:style w:type="paragraph" w:styleId="Revision">
    <w:name w:val="Revision"/>
    <w:hidden/>
    <w:uiPriority w:val="99"/>
    <w:semiHidden/>
    <w:rsid w:val="00A8582F"/>
    <w:rPr>
      <w:rFonts w:ascii="Calibri Light" w:eastAsiaTheme="minorEastAsia" w:hAnsi="Calibri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6630">
      <w:bodyDiv w:val="1"/>
      <w:marLeft w:val="0"/>
      <w:marRight w:val="0"/>
      <w:marTop w:val="0"/>
      <w:marBottom w:val="0"/>
      <w:divBdr>
        <w:top w:val="none" w:sz="0" w:space="0" w:color="auto"/>
        <w:left w:val="none" w:sz="0" w:space="0" w:color="auto"/>
        <w:bottom w:val="none" w:sz="0" w:space="0" w:color="auto"/>
        <w:right w:val="none" w:sz="0" w:space="0" w:color="auto"/>
      </w:divBdr>
    </w:div>
    <w:div w:id="29694883">
      <w:bodyDiv w:val="1"/>
      <w:marLeft w:val="0"/>
      <w:marRight w:val="0"/>
      <w:marTop w:val="0"/>
      <w:marBottom w:val="0"/>
      <w:divBdr>
        <w:top w:val="none" w:sz="0" w:space="0" w:color="auto"/>
        <w:left w:val="none" w:sz="0" w:space="0" w:color="auto"/>
        <w:bottom w:val="none" w:sz="0" w:space="0" w:color="auto"/>
        <w:right w:val="none" w:sz="0" w:space="0" w:color="auto"/>
      </w:divBdr>
    </w:div>
    <w:div w:id="275869211">
      <w:bodyDiv w:val="1"/>
      <w:marLeft w:val="0"/>
      <w:marRight w:val="0"/>
      <w:marTop w:val="0"/>
      <w:marBottom w:val="0"/>
      <w:divBdr>
        <w:top w:val="none" w:sz="0" w:space="0" w:color="auto"/>
        <w:left w:val="none" w:sz="0" w:space="0" w:color="auto"/>
        <w:bottom w:val="none" w:sz="0" w:space="0" w:color="auto"/>
        <w:right w:val="none" w:sz="0" w:space="0" w:color="auto"/>
      </w:divBdr>
    </w:div>
    <w:div w:id="319964778">
      <w:bodyDiv w:val="1"/>
      <w:marLeft w:val="0"/>
      <w:marRight w:val="0"/>
      <w:marTop w:val="0"/>
      <w:marBottom w:val="0"/>
      <w:divBdr>
        <w:top w:val="none" w:sz="0" w:space="0" w:color="auto"/>
        <w:left w:val="none" w:sz="0" w:space="0" w:color="auto"/>
        <w:bottom w:val="none" w:sz="0" w:space="0" w:color="auto"/>
        <w:right w:val="none" w:sz="0" w:space="0" w:color="auto"/>
      </w:divBdr>
    </w:div>
    <w:div w:id="405307125">
      <w:bodyDiv w:val="1"/>
      <w:marLeft w:val="0"/>
      <w:marRight w:val="0"/>
      <w:marTop w:val="0"/>
      <w:marBottom w:val="0"/>
      <w:divBdr>
        <w:top w:val="none" w:sz="0" w:space="0" w:color="auto"/>
        <w:left w:val="none" w:sz="0" w:space="0" w:color="auto"/>
        <w:bottom w:val="none" w:sz="0" w:space="0" w:color="auto"/>
        <w:right w:val="none" w:sz="0" w:space="0" w:color="auto"/>
      </w:divBdr>
    </w:div>
    <w:div w:id="463432540">
      <w:bodyDiv w:val="1"/>
      <w:marLeft w:val="0"/>
      <w:marRight w:val="0"/>
      <w:marTop w:val="0"/>
      <w:marBottom w:val="0"/>
      <w:divBdr>
        <w:top w:val="none" w:sz="0" w:space="0" w:color="auto"/>
        <w:left w:val="none" w:sz="0" w:space="0" w:color="auto"/>
        <w:bottom w:val="none" w:sz="0" w:space="0" w:color="auto"/>
        <w:right w:val="none" w:sz="0" w:space="0" w:color="auto"/>
      </w:divBdr>
    </w:div>
    <w:div w:id="480925958">
      <w:bodyDiv w:val="1"/>
      <w:marLeft w:val="0"/>
      <w:marRight w:val="0"/>
      <w:marTop w:val="0"/>
      <w:marBottom w:val="0"/>
      <w:divBdr>
        <w:top w:val="none" w:sz="0" w:space="0" w:color="auto"/>
        <w:left w:val="none" w:sz="0" w:space="0" w:color="auto"/>
        <w:bottom w:val="none" w:sz="0" w:space="0" w:color="auto"/>
        <w:right w:val="none" w:sz="0" w:space="0" w:color="auto"/>
      </w:divBdr>
    </w:div>
    <w:div w:id="657659348">
      <w:bodyDiv w:val="1"/>
      <w:marLeft w:val="0"/>
      <w:marRight w:val="0"/>
      <w:marTop w:val="0"/>
      <w:marBottom w:val="0"/>
      <w:divBdr>
        <w:top w:val="none" w:sz="0" w:space="0" w:color="auto"/>
        <w:left w:val="none" w:sz="0" w:space="0" w:color="auto"/>
        <w:bottom w:val="none" w:sz="0" w:space="0" w:color="auto"/>
        <w:right w:val="none" w:sz="0" w:space="0" w:color="auto"/>
      </w:divBdr>
    </w:div>
    <w:div w:id="768357919">
      <w:bodyDiv w:val="1"/>
      <w:marLeft w:val="0"/>
      <w:marRight w:val="0"/>
      <w:marTop w:val="0"/>
      <w:marBottom w:val="0"/>
      <w:divBdr>
        <w:top w:val="none" w:sz="0" w:space="0" w:color="auto"/>
        <w:left w:val="none" w:sz="0" w:space="0" w:color="auto"/>
        <w:bottom w:val="none" w:sz="0" w:space="0" w:color="auto"/>
        <w:right w:val="none" w:sz="0" w:space="0" w:color="auto"/>
      </w:divBdr>
    </w:div>
    <w:div w:id="891304652">
      <w:bodyDiv w:val="1"/>
      <w:marLeft w:val="0"/>
      <w:marRight w:val="0"/>
      <w:marTop w:val="0"/>
      <w:marBottom w:val="0"/>
      <w:divBdr>
        <w:top w:val="none" w:sz="0" w:space="0" w:color="auto"/>
        <w:left w:val="none" w:sz="0" w:space="0" w:color="auto"/>
        <w:bottom w:val="none" w:sz="0" w:space="0" w:color="auto"/>
        <w:right w:val="none" w:sz="0" w:space="0" w:color="auto"/>
      </w:divBdr>
    </w:div>
    <w:div w:id="927351774">
      <w:bodyDiv w:val="1"/>
      <w:marLeft w:val="0"/>
      <w:marRight w:val="0"/>
      <w:marTop w:val="0"/>
      <w:marBottom w:val="0"/>
      <w:divBdr>
        <w:top w:val="none" w:sz="0" w:space="0" w:color="auto"/>
        <w:left w:val="none" w:sz="0" w:space="0" w:color="auto"/>
        <w:bottom w:val="none" w:sz="0" w:space="0" w:color="auto"/>
        <w:right w:val="none" w:sz="0" w:space="0" w:color="auto"/>
      </w:divBdr>
    </w:div>
    <w:div w:id="1008411955">
      <w:bodyDiv w:val="1"/>
      <w:marLeft w:val="0"/>
      <w:marRight w:val="0"/>
      <w:marTop w:val="0"/>
      <w:marBottom w:val="0"/>
      <w:divBdr>
        <w:top w:val="none" w:sz="0" w:space="0" w:color="auto"/>
        <w:left w:val="none" w:sz="0" w:space="0" w:color="auto"/>
        <w:bottom w:val="none" w:sz="0" w:space="0" w:color="auto"/>
        <w:right w:val="none" w:sz="0" w:space="0" w:color="auto"/>
      </w:divBdr>
    </w:div>
    <w:div w:id="1122191611">
      <w:bodyDiv w:val="1"/>
      <w:marLeft w:val="0"/>
      <w:marRight w:val="0"/>
      <w:marTop w:val="0"/>
      <w:marBottom w:val="0"/>
      <w:divBdr>
        <w:top w:val="none" w:sz="0" w:space="0" w:color="auto"/>
        <w:left w:val="none" w:sz="0" w:space="0" w:color="auto"/>
        <w:bottom w:val="none" w:sz="0" w:space="0" w:color="auto"/>
        <w:right w:val="none" w:sz="0" w:space="0" w:color="auto"/>
      </w:divBdr>
    </w:div>
    <w:div w:id="1366442244">
      <w:bodyDiv w:val="1"/>
      <w:marLeft w:val="0"/>
      <w:marRight w:val="0"/>
      <w:marTop w:val="0"/>
      <w:marBottom w:val="0"/>
      <w:divBdr>
        <w:top w:val="none" w:sz="0" w:space="0" w:color="auto"/>
        <w:left w:val="none" w:sz="0" w:space="0" w:color="auto"/>
        <w:bottom w:val="none" w:sz="0" w:space="0" w:color="auto"/>
        <w:right w:val="none" w:sz="0" w:space="0" w:color="auto"/>
      </w:divBdr>
    </w:div>
    <w:div w:id="1375807500">
      <w:bodyDiv w:val="1"/>
      <w:marLeft w:val="0"/>
      <w:marRight w:val="0"/>
      <w:marTop w:val="0"/>
      <w:marBottom w:val="0"/>
      <w:divBdr>
        <w:top w:val="none" w:sz="0" w:space="0" w:color="auto"/>
        <w:left w:val="none" w:sz="0" w:space="0" w:color="auto"/>
        <w:bottom w:val="none" w:sz="0" w:space="0" w:color="auto"/>
        <w:right w:val="none" w:sz="0" w:space="0" w:color="auto"/>
      </w:divBdr>
    </w:div>
    <w:div w:id="1390494259">
      <w:bodyDiv w:val="1"/>
      <w:marLeft w:val="0"/>
      <w:marRight w:val="0"/>
      <w:marTop w:val="0"/>
      <w:marBottom w:val="0"/>
      <w:divBdr>
        <w:top w:val="none" w:sz="0" w:space="0" w:color="auto"/>
        <w:left w:val="none" w:sz="0" w:space="0" w:color="auto"/>
        <w:bottom w:val="none" w:sz="0" w:space="0" w:color="auto"/>
        <w:right w:val="none" w:sz="0" w:space="0" w:color="auto"/>
      </w:divBdr>
    </w:div>
    <w:div w:id="1478258022">
      <w:bodyDiv w:val="1"/>
      <w:marLeft w:val="0"/>
      <w:marRight w:val="0"/>
      <w:marTop w:val="0"/>
      <w:marBottom w:val="0"/>
      <w:divBdr>
        <w:top w:val="none" w:sz="0" w:space="0" w:color="auto"/>
        <w:left w:val="none" w:sz="0" w:space="0" w:color="auto"/>
        <w:bottom w:val="none" w:sz="0" w:space="0" w:color="auto"/>
        <w:right w:val="none" w:sz="0" w:space="0" w:color="auto"/>
      </w:divBdr>
    </w:div>
    <w:div w:id="1588997133">
      <w:bodyDiv w:val="1"/>
      <w:marLeft w:val="0"/>
      <w:marRight w:val="0"/>
      <w:marTop w:val="0"/>
      <w:marBottom w:val="0"/>
      <w:divBdr>
        <w:top w:val="none" w:sz="0" w:space="0" w:color="auto"/>
        <w:left w:val="none" w:sz="0" w:space="0" w:color="auto"/>
        <w:bottom w:val="none" w:sz="0" w:space="0" w:color="auto"/>
        <w:right w:val="none" w:sz="0" w:space="0" w:color="auto"/>
      </w:divBdr>
    </w:div>
    <w:div w:id="1687176803">
      <w:bodyDiv w:val="1"/>
      <w:marLeft w:val="0"/>
      <w:marRight w:val="0"/>
      <w:marTop w:val="0"/>
      <w:marBottom w:val="0"/>
      <w:divBdr>
        <w:top w:val="none" w:sz="0" w:space="0" w:color="auto"/>
        <w:left w:val="none" w:sz="0" w:space="0" w:color="auto"/>
        <w:bottom w:val="none" w:sz="0" w:space="0" w:color="auto"/>
        <w:right w:val="none" w:sz="0" w:space="0" w:color="auto"/>
      </w:divBdr>
    </w:div>
    <w:div w:id="1759062714">
      <w:bodyDiv w:val="1"/>
      <w:marLeft w:val="0"/>
      <w:marRight w:val="0"/>
      <w:marTop w:val="0"/>
      <w:marBottom w:val="0"/>
      <w:divBdr>
        <w:top w:val="none" w:sz="0" w:space="0" w:color="auto"/>
        <w:left w:val="none" w:sz="0" w:space="0" w:color="auto"/>
        <w:bottom w:val="none" w:sz="0" w:space="0" w:color="auto"/>
        <w:right w:val="none" w:sz="0" w:space="0" w:color="auto"/>
      </w:divBdr>
    </w:div>
    <w:div w:id="2034842876">
      <w:bodyDiv w:val="1"/>
      <w:marLeft w:val="0"/>
      <w:marRight w:val="0"/>
      <w:marTop w:val="0"/>
      <w:marBottom w:val="0"/>
      <w:divBdr>
        <w:top w:val="none" w:sz="0" w:space="0" w:color="auto"/>
        <w:left w:val="none" w:sz="0" w:space="0" w:color="auto"/>
        <w:bottom w:val="none" w:sz="0" w:space="0" w:color="auto"/>
        <w:right w:val="none" w:sz="0" w:space="0" w:color="auto"/>
      </w:divBdr>
    </w:div>
    <w:div w:id="2120371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1671C2FFA3F64E8828C02C20A0EB9B" ma:contentTypeVersion="12" ma:contentTypeDescription="Create a new document." ma:contentTypeScope="" ma:versionID="54aa8a8945ff3ce9bc657b33d9e4cd12">
  <xsd:schema xmlns:xsd="http://www.w3.org/2001/XMLSchema" xmlns:xs="http://www.w3.org/2001/XMLSchema" xmlns:p="http://schemas.microsoft.com/office/2006/metadata/properties" xmlns:ns2="5eaf59f2-ec2e-4d89-9ce9-a52c8e48fa5e" xmlns:ns3="74f3c3fa-7547-41f2-8760-787c61d6c6ba" targetNamespace="http://schemas.microsoft.com/office/2006/metadata/properties" ma:root="true" ma:fieldsID="fad3f1b981ea467ac796e900c8211aab" ns2:_="" ns3:_="">
    <xsd:import namespace="5eaf59f2-ec2e-4d89-9ce9-a52c8e48fa5e"/>
    <xsd:import namespace="74f3c3fa-7547-41f2-8760-787c61d6c6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59f2-ec2e-4d89-9ce9-a52c8e48fa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f3c3fa-7547-41f2-8760-787c61d6c6b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5eaf59f2-ec2e-4d89-9ce9-a52c8e48fa5e">
      <UserInfo>
        <DisplayName/>
        <AccountId xsi:nil="true"/>
        <AccountType/>
      </UserInfo>
    </SharedWithUsers>
  </documentManagement>
</p:properties>
</file>

<file path=customXml/itemProps1.xml><?xml version="1.0" encoding="utf-8"?>
<ds:datastoreItem xmlns:ds="http://schemas.openxmlformats.org/officeDocument/2006/customXml" ds:itemID="{1D9B7398-9E37-4571-94E6-BFDB41DA4B2A}">
  <ds:schemaRefs>
    <ds:schemaRef ds:uri="http://schemas.microsoft.com/sharepoint/v3/contenttype/forms"/>
  </ds:schemaRefs>
</ds:datastoreItem>
</file>

<file path=customXml/itemProps2.xml><?xml version="1.0" encoding="utf-8"?>
<ds:datastoreItem xmlns:ds="http://schemas.openxmlformats.org/officeDocument/2006/customXml" ds:itemID="{64A82FAD-5C6C-43DF-9BC5-4E1FA1C88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59f2-ec2e-4d89-9ce9-a52c8e48fa5e"/>
    <ds:schemaRef ds:uri="74f3c3fa-7547-41f2-8760-787c61d6c6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F5A844-B3DE-4A6A-9001-5C792CA3178D}">
  <ds:schemaRefs>
    <ds:schemaRef ds:uri="http://schemas.openxmlformats.org/officeDocument/2006/bibliography"/>
  </ds:schemaRefs>
</ds:datastoreItem>
</file>

<file path=customXml/itemProps4.xml><?xml version="1.0" encoding="utf-8"?>
<ds:datastoreItem xmlns:ds="http://schemas.openxmlformats.org/officeDocument/2006/customXml" ds:itemID="{9C5AA9C4-81B3-489D-95F3-E0F0B3424825}">
  <ds:schemaRefs>
    <ds:schemaRef ds:uri="http://schemas.microsoft.com/office/2006/metadata/properties"/>
    <ds:schemaRef ds:uri="http://schemas.microsoft.com/office/infopath/2007/PartnerControls"/>
    <ds:schemaRef ds:uri="5eaf59f2-ec2e-4d89-9ce9-a52c8e48fa5e"/>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1530</Words>
  <Characters>8726</Characters>
  <Application>Microsoft Office Word</Application>
  <DocSecurity>0</DocSecurity>
  <Lines>72</Lines>
  <Paragraphs>20</Paragraphs>
  <ScaleCrop>false</ScaleCrop>
  <Company>NIWA</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[#SCIAWD-189] Determinants of establishment success of marine invaders 2013/14</dc:title>
  <dc:subject/>
  <dc:creator>Emilie Williams</dc:creator>
  <cp:keywords/>
  <dc:description/>
  <cp:lastModifiedBy>Janine Pineda-Verhoogh</cp:lastModifiedBy>
  <cp:revision>72</cp:revision>
  <cp:lastPrinted>2017-04-26T02:26:00Z</cp:lastPrinted>
  <dcterms:created xsi:type="dcterms:W3CDTF">2022-06-08T03:17:00Z</dcterms:created>
  <dcterms:modified xsi:type="dcterms:W3CDTF">2022-08-09T22:17:00Z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0x010100AB1671C2FFA3F64E8828C02C20A0EB9B</vt:lpwstr>
  </property>
  <property fmtid="{D5CDD505-2E9C-101B-9397-08002B2CF9AE}" pid="3" name="_dlc_policyId">
    <vt:lpwstr>/sites/Science/Fisheries/Fisheries Guidance  Templates</vt:lpwstr>
  </property>
  <property fmtid="{D5CDD505-2E9C-101B-9397-08002B2CF9AE}" pid="4" name="ItemRetentionFormula">
    <vt:lpwstr>&lt;formula id="Microsoft.Office.RecordsManagement.PolicyFeatures.Expiration.Formula.BuiltIn"&gt;&lt;number&gt;30&lt;/number&gt;&lt;property&gt;Created&lt;/property&gt;&lt;propertyId&gt;8c06beca-0777-48f7-91c7-6da68bc07b69&lt;/propertyId&gt;&lt;period&gt;years&lt;/period&gt;&lt;/formula&gt;</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