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Rokkitt" w:cs="Rokkitt" w:eastAsia="Rokkitt" w:hAnsi="Rokkitt"/>
          <w:b w:val="1"/>
          <w:sz w:val="24"/>
          <w:szCs w:val="24"/>
          <w:rtl w:val="0"/>
        </w:rPr>
        <w:t xml:space="preserve">Aqua-Hacking 2016, Derby de recherche du GRIL:</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Équipe composée de : </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Zofia Taranu  : </w:t>
      </w:r>
      <w:hyperlink r:id="rId5">
        <w:r w:rsidDel="00000000" w:rsidR="00000000" w:rsidRPr="00000000">
          <w:rPr>
            <w:rFonts w:ascii="Rokkitt" w:cs="Rokkitt" w:eastAsia="Rokkitt" w:hAnsi="Rokkitt"/>
            <w:color w:val="1155cc"/>
            <w:u w:val="single"/>
            <w:rtl w:val="0"/>
          </w:rPr>
          <w:t xml:space="preserve">zofia.taranu@gmail.com</w:t>
        </w:r>
      </w:hyperlink>
      <w:r w:rsidDel="00000000" w:rsidR="00000000" w:rsidRPr="00000000">
        <w:rPr>
          <w:rFonts w:ascii="Rokkitt" w:cs="Rokkitt" w:eastAsia="Rokkitt" w:hAnsi="Rokkitt"/>
          <w:rtl w:val="0"/>
        </w:rPr>
        <w:t xml:space="preserve"> </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Charles Tremblay : </w:t>
      </w:r>
      <w:hyperlink r:id="rId6">
        <w:r w:rsidDel="00000000" w:rsidR="00000000" w:rsidRPr="00000000">
          <w:rPr>
            <w:rFonts w:ascii="Rokkitt" w:cs="Rokkitt" w:eastAsia="Rokkitt" w:hAnsi="Rokkitt"/>
            <w:color w:val="1155cc"/>
            <w:u w:val="single"/>
            <w:rtl w:val="0"/>
          </w:rPr>
          <w:t xml:space="preserve">charles.charrier.t@gmail.com</w:t>
        </w:r>
      </w:hyperlink>
      <w:r w:rsidDel="00000000" w:rsidR="00000000" w:rsidRPr="00000000">
        <w:rPr>
          <w:rFonts w:ascii="Rokkitt" w:cs="Rokkitt" w:eastAsia="Rokkitt" w:hAnsi="Rokkitt"/>
          <w:rtl w:val="0"/>
        </w:rPr>
        <w:t xml:space="preserve">  </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Louis Astorg : </w:t>
      </w:r>
      <w:hyperlink r:id="rId7">
        <w:r w:rsidDel="00000000" w:rsidR="00000000" w:rsidRPr="00000000">
          <w:rPr>
            <w:rFonts w:ascii="Rokkitt" w:cs="Rokkitt" w:eastAsia="Rokkitt" w:hAnsi="Rokkitt"/>
            <w:color w:val="1155cc"/>
            <w:u w:val="single"/>
            <w:rtl w:val="0"/>
          </w:rPr>
          <w:t xml:space="preserve">louisastorg@msn.com</w:t>
        </w:r>
      </w:hyperlink>
      <w:r w:rsidDel="00000000" w:rsidR="00000000" w:rsidRPr="00000000">
        <w:rPr>
          <w:rFonts w:ascii="Rokkitt" w:cs="Rokkitt" w:eastAsia="Rokkitt" w:hAnsi="Rokkitt"/>
          <w:rtl w:val="0"/>
        </w:rPr>
        <w:t xml:space="preserve"> </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Carina Poulin : </w:t>
      </w:r>
      <w:hyperlink r:id="rId8">
        <w:r w:rsidDel="00000000" w:rsidR="00000000" w:rsidRPr="00000000">
          <w:rPr>
            <w:rFonts w:ascii="Rokkitt" w:cs="Rokkitt" w:eastAsia="Rokkitt" w:hAnsi="Rokkitt"/>
            <w:color w:val="1155cc"/>
            <w:u w:val="single"/>
            <w:rtl w:val="0"/>
          </w:rPr>
          <w:t xml:space="preserve">carina.poulin@gmail.com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Beatrix Beisner: </w:t>
      </w:r>
      <w:hyperlink r:id="rId9">
        <w:r w:rsidDel="00000000" w:rsidR="00000000" w:rsidRPr="00000000">
          <w:rPr>
            <w:rFonts w:ascii="Rokkitt" w:cs="Rokkitt" w:eastAsia="Rokkitt" w:hAnsi="Rokkitt"/>
            <w:color w:val="1155cc"/>
            <w:u w:val="single"/>
            <w:rtl w:val="0"/>
          </w:rPr>
          <w:t xml:space="preserve">beisner.beatrix@uqam.ca</w:t>
        </w:r>
      </w:hyperlink>
      <w:r w:rsidDel="00000000" w:rsidR="00000000" w:rsidRPr="00000000">
        <w:rPr>
          <w:rFonts w:ascii="Rokkitt" w:cs="Rokkitt" w:eastAsia="Rokkitt" w:hAnsi="Rokkitt"/>
          <w:rtl w:val="0"/>
        </w:rPr>
        <w:t xml:space="preserve"> </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Alison Derry: </w:t>
      </w:r>
      <w:hyperlink r:id="rId10">
        <w:r w:rsidDel="00000000" w:rsidR="00000000" w:rsidRPr="00000000">
          <w:rPr>
            <w:rFonts w:ascii="Rokkitt" w:cs="Rokkitt" w:eastAsia="Rokkitt" w:hAnsi="Rokkitt"/>
            <w:color w:val="1155cc"/>
            <w:u w:val="single"/>
            <w:rtl w:val="0"/>
          </w:rPr>
          <w:t xml:space="preserve">derry.alison@uqam.ca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kkitt" w:cs="Rokkitt" w:eastAsia="Rokkitt" w:hAnsi="Rokkitt"/>
          <w:b w:val="1"/>
          <w:sz w:val="28"/>
          <w:szCs w:val="28"/>
          <w:rtl w:val="0"/>
        </w:rPr>
        <w:t xml:space="preserve">e fish, l’application de science citoyenne sur la pêche sportive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71750" cy="1152525"/>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2571750"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sz w:val="24"/>
          <w:szCs w:val="24"/>
          <w:rtl w:val="0"/>
        </w:rPr>
        <w:t xml:space="preserve">Résumé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À la fois un outil à données ouvertes pour les scientifiques et pour les pêcheurs sportifs, efish est attendu par plusieurs. L’application regroupe trois volets principaux: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1- Carte des zones de pêche interactive donnant de l’information sur les espèces retrouvées dans les différents secteurs ainsi que leur “abondance relative”;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2- Formulaire de “rapport de pêche” où l’utilisateur peut soumettre ses prises à la base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3- Fiches informatives sur chaque espèce de poisson qui permettent de les identifier ainsi que de connaître des informations cruciales sur leur statut ou les règlements de pêche qui leur sont associés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Un profil de pêcheur est aussi accessible et agrémenté de statistiques et de badges.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sz w:val="24"/>
          <w:szCs w:val="24"/>
          <w:rtl w:val="0"/>
        </w:rPr>
        <w:t xml:space="preserve">Données traitées lors du derby de recherche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À partir de la base DB_fish.csv:</w:t>
      </w:r>
    </w:p>
    <w:p w:rsidR="00000000" w:rsidDel="00000000" w:rsidP="00000000" w:rsidRDefault="00000000" w:rsidRPr="00000000">
      <w:pPr>
        <w:contextualSpacing w:val="0"/>
      </w:pPr>
      <w:r w:rsidDel="00000000" w:rsidR="00000000" w:rsidRPr="00000000">
        <w:rPr>
          <w:rFonts w:ascii="Rokkitt" w:cs="Rokkitt" w:eastAsia="Rokkitt" w:hAnsi="Rokkitt"/>
          <w:u w:val="single"/>
          <w:rtl w:val="0"/>
        </w:rPr>
        <w:t xml:space="preserve">SCBD par espèce </w:t>
      </w:r>
      <w:r w:rsidDel="00000000" w:rsidR="00000000" w:rsidRPr="00000000">
        <w:rPr>
          <w:rFonts w:ascii="Rokkitt" w:cs="Rokkitt" w:eastAsia="Rokkitt" w:hAnsi="Rokkitt"/>
          <w:rtl w:val="0"/>
        </w:rPr>
        <w:t xml:space="preserve">: Donne la contribution de l’espèce pour la biodiversité (pourrait être segmentée, ex.: Extrêmement importante, très importante, importante,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u w:val="single"/>
          <w:rtl w:val="0"/>
        </w:rPr>
        <w:t xml:space="preserve">LCBD par secteur</w:t>
      </w:r>
      <w:r w:rsidDel="00000000" w:rsidR="00000000" w:rsidRPr="00000000">
        <w:rPr>
          <w:rFonts w:ascii="Rokkitt" w:cs="Rokkitt" w:eastAsia="Rokkitt" w:hAnsi="Rokkitt"/>
          <w:rtl w:val="0"/>
        </w:rPr>
        <w:t xml:space="preserve"> : Donne la contribution d’un site à la biodiversité (pourrait être segmentée, ex.: Très riche, riche,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u w:val="single"/>
          <w:rtl w:val="0"/>
        </w:rPr>
        <w:t xml:space="preserve">Alpha-richness par secteur</w:t>
      </w:r>
      <w:r w:rsidDel="00000000" w:rsidR="00000000" w:rsidRPr="00000000">
        <w:rPr>
          <w:rFonts w:ascii="Rokkitt" w:cs="Rokkitt" w:eastAsia="Rokkitt" w:hAnsi="Rokkitt"/>
          <w:rtl w:val="0"/>
        </w:rPr>
        <w:t xml:space="preserve"> : Nombre total d’espèce dans un secteur donné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u w:val="single"/>
          <w:rtl w:val="0"/>
        </w:rPr>
        <w:t xml:space="preserve">Fréquence sur toute la période échantillonnée par secteur</w:t>
      </w:r>
      <w:r w:rsidDel="00000000" w:rsidR="00000000" w:rsidRPr="00000000">
        <w:rPr>
          <w:rFonts w:ascii="Rokkitt" w:cs="Rokkitt" w:eastAsia="Rokkitt" w:hAnsi="Rokkitt"/>
          <w:rtl w:val="0"/>
        </w:rPr>
        <w:t xml:space="preserve"> : fréquence d’apparition d’une espèce sur toute la période dans un secteur donné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u w:val="single"/>
          <w:rtl w:val="0"/>
        </w:rPr>
        <w:t xml:space="preserve">Fréquence par secteur en fonction du temps</w:t>
      </w:r>
      <w:r w:rsidDel="00000000" w:rsidR="00000000" w:rsidRPr="00000000">
        <w:rPr>
          <w:rFonts w:ascii="Rokkitt" w:cs="Rokkitt" w:eastAsia="Rokkitt" w:hAnsi="Rokkitt"/>
          <w:rtl w:val="0"/>
        </w:rPr>
        <w:t xml:space="preserve"> : fréquence d’observation d’une espèce dans un secteur à chaque année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Données recherchées comme “output” de l’application pour la base de données ouvertes destinée aux scientifiques: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u w:val="single"/>
          <w:rtl w:val="0"/>
        </w:rPr>
        <w:t xml:space="preserve">Entrées par l’utilisateur:</w:t>
      </w:r>
      <w:r w:rsidDel="00000000" w:rsidR="00000000" w:rsidRPr="00000000">
        <w:rPr>
          <w:rFonts w:ascii="Rokkitt" w:cs="Rokkitt" w:eastAsia="Rokkitt" w:hAnsi="Rokkitt"/>
          <w:b w:val="1"/>
          <w:rtl w:val="0"/>
        </w:rPr>
        <w:t xml:space="preserve"> </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-Photo</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-Espèce</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-Temps d’attente</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-Type de pêche</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-Remise à l’eau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u w:val="single"/>
          <w:rtl w:val="0"/>
        </w:rPr>
        <w:t xml:space="preserve">Entrées sans que l’utilisateur ne les entre lui-même:</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-Coordonnées géographiques (lat/long)</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-Taille du poisson (calculée à partir de la photo si possible)</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-Date, heure (stamp)</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-Température, météo (lien avec env. Canada)</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-Expérience du pêcheur (à partir du profil)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kkitt" w:cs="Rokkitt" w:eastAsia="Rokkitt" w:hAnsi="Rokkitt"/>
          <w:b w:val="1"/>
          <w:sz w:val="24"/>
          <w:szCs w:val="24"/>
          <w:rtl w:val="0"/>
        </w:rPr>
        <w:t xml:space="preserve">Idex: Autres sources de données et leur utilisation potentielle dans efish: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Règlements pêche:</w:t>
      </w:r>
    </w:p>
    <w:p w:rsidR="00000000" w:rsidDel="00000000" w:rsidP="00000000" w:rsidRDefault="00000000" w:rsidRPr="00000000">
      <w:pPr>
        <w:contextualSpacing w:val="0"/>
      </w:pPr>
      <w:hyperlink r:id="rId12">
        <w:r w:rsidDel="00000000" w:rsidR="00000000" w:rsidRPr="00000000">
          <w:rPr>
            <w:rFonts w:ascii="Rokkitt" w:cs="Rokkitt" w:eastAsia="Rokkitt" w:hAnsi="Rokkitt"/>
            <w:color w:val="1155cc"/>
            <w:u w:val="single"/>
            <w:rtl w:val="0"/>
          </w:rPr>
          <w:t xml:space="preserve">https://www.mffp.gouv.qc.ca/publications/enligne/faune/reglementation-peche/pecher-quebec.asp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Base de données sur la règlementation de pêche au Québec:</w:t>
      </w:r>
    </w:p>
    <w:p w:rsidR="00000000" w:rsidDel="00000000" w:rsidP="00000000" w:rsidRDefault="00000000" w:rsidRPr="00000000">
      <w:pPr>
        <w:contextualSpacing w:val="0"/>
      </w:pPr>
      <w:hyperlink r:id="rId13">
        <w:r w:rsidDel="00000000" w:rsidR="00000000" w:rsidRPr="00000000">
          <w:rPr>
            <w:rFonts w:ascii="Rokkitt" w:cs="Rokkitt" w:eastAsia="Rokkitt" w:hAnsi="Rokkitt"/>
            <w:color w:val="1155cc"/>
            <w:u w:val="single"/>
            <w:rtl w:val="0"/>
          </w:rPr>
          <w:t xml:space="preserve">https://www.donneesquebec.ca/recherche/fr/dataset/regles-de-peche-au-quebec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(voir fichiers 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-&gt;Infos à inscrire dans la fiche informative: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ab/>
        <w:t xml:space="preserve">-Limite quotidienne</w:t>
      </w:r>
    </w:p>
    <w:p w:rsidR="00000000" w:rsidDel="00000000" w:rsidP="00000000" w:rsidRDefault="00000000" w:rsidRPr="00000000">
      <w:pPr>
        <w:contextualSpacing w:val="0"/>
      </w:pPr>
      <w:r w:rsidDel="00000000" w:rsidR="00000000" w:rsidRPr="00000000">
        <w:rPr>
          <w:rFonts w:ascii="Rokkitt" w:cs="Rokkitt" w:eastAsia="Rokkitt" w:hAnsi="Rokkitt"/>
          <w:rtl w:val="0"/>
        </w:rPr>
        <w:tab/>
        <w:t xml:space="preserve">-Limite remise à l’eau quotidienne</w:t>
      </w:r>
    </w:p>
    <w:p w:rsidR="00000000" w:rsidDel="00000000" w:rsidP="00000000" w:rsidRDefault="00000000" w:rsidRPr="00000000">
      <w:pPr>
        <w:contextualSpacing w:val="0"/>
      </w:pPr>
      <w:r w:rsidDel="00000000" w:rsidR="00000000" w:rsidRPr="00000000">
        <w:rPr>
          <w:rFonts w:ascii="Rokkitt" w:cs="Rokkitt" w:eastAsia="Rokkitt" w:hAnsi="Rokkitt"/>
          <w:rtl w:val="0"/>
        </w:rPr>
        <w:tab/>
        <w:t xml:space="preserve">-Limite de possession</w:t>
        <w:br w:type="textWrapping"/>
        <w:tab/>
        <w:t xml:space="preserve">-Limites de longueur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Espèces en péril (statut de vulnérabilité):</w:t>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Site fédéral:</w:t>
      </w:r>
    </w:p>
    <w:p w:rsidR="00000000" w:rsidDel="00000000" w:rsidP="00000000" w:rsidRDefault="00000000" w:rsidRPr="00000000">
      <w:pPr>
        <w:contextualSpacing w:val="0"/>
      </w:pPr>
      <w:hyperlink r:id="rId14">
        <w:r w:rsidDel="00000000" w:rsidR="00000000" w:rsidRPr="00000000">
          <w:rPr>
            <w:rFonts w:ascii="Rokkitt" w:cs="Rokkitt" w:eastAsia="Rokkitt" w:hAnsi="Rokkitt"/>
            <w:color w:val="1155cc"/>
            <w:u w:val="single"/>
            <w:rtl w:val="0"/>
          </w:rPr>
          <w:t xml:space="preserve">http://www.dfo-mpo.gc.ca/species-especes/listing-fra.htm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Rokkitt" w:cs="Rokkitt" w:eastAsia="Rokkitt" w:hAnsi="Rokkitt"/>
            <w:color w:val="1155cc"/>
            <w:u w:val="single"/>
            <w:rtl w:val="0"/>
          </w:rPr>
          <w:t xml:space="preserve">http://www.registrelep.gc.ca/search/advSearchResults_f.cfm?stype=species&amp;lng=f&amp;advkeywords=&amp;op=2&amp;locid=6&amp;taxid=3&amp;desid=1%2c4%2c7%2c10%2c2%2c5%2c8%2c3%2c6%2c9&amp;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Site provincial Québec:</w:t>
      </w:r>
    </w:p>
    <w:p w:rsidR="00000000" w:rsidDel="00000000" w:rsidP="00000000" w:rsidRDefault="00000000" w:rsidRPr="00000000">
      <w:pPr>
        <w:contextualSpacing w:val="0"/>
      </w:pPr>
      <w:hyperlink r:id="rId16">
        <w:r w:rsidDel="00000000" w:rsidR="00000000" w:rsidRPr="00000000">
          <w:rPr>
            <w:rFonts w:ascii="Rokkitt" w:cs="Rokkitt" w:eastAsia="Rokkitt" w:hAnsi="Rokkitt"/>
            <w:color w:val="1155cc"/>
            <w:u w:val="single"/>
            <w:rtl w:val="0"/>
          </w:rPr>
          <w:t xml:space="preserve">http://www3.mffp.gouv.qc.ca/faune/especes/menacees/liste.asp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-&gt;Choisir un statut et l’afficher sur la fiche informative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Espèces invasives: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Fonts w:ascii="Rokkitt" w:cs="Rokkitt" w:eastAsia="Rokkitt" w:hAnsi="Rokkitt"/>
            <w:color w:val="1155cc"/>
            <w:u w:val="single"/>
            <w:rtl w:val="0"/>
          </w:rPr>
          <w:t xml:space="preserve">http://mffp.gouv.qc.ca/faune/especes/envahissantes/index.jsp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-&gt;Indiquer sur la fiche informative  si l’espèce est invasive et indiquer méthodes de contrôle si pertinent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Liste des poissons du St-Laurent avec 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rFonts w:ascii="Rokkitt" w:cs="Rokkitt" w:eastAsia="Rokkitt" w:hAnsi="Rokkitt"/>
            <w:color w:val="1155cc"/>
            <w:u w:val="single"/>
            <w:rtl w:val="0"/>
          </w:rPr>
          <w:t xml:space="preserve">http://www.mddelcc.gouv.qc.ca/poissons/Fl-St-Laurent/St-Laurent.asp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Fiches descriptives pour 26 de ces espèces:</w:t>
      </w:r>
    </w:p>
    <w:p w:rsidR="00000000" w:rsidDel="00000000" w:rsidP="00000000" w:rsidRDefault="00000000" w:rsidRPr="00000000">
      <w:pPr>
        <w:contextualSpacing w:val="0"/>
      </w:pPr>
      <w:hyperlink r:id="rId19">
        <w:r w:rsidDel="00000000" w:rsidR="00000000" w:rsidRPr="00000000">
          <w:rPr>
            <w:rFonts w:ascii="Rokkitt" w:cs="Rokkitt" w:eastAsia="Rokkitt" w:hAnsi="Rokkitt"/>
            <w:color w:val="1155cc"/>
            <w:u w:val="single"/>
            <w:rtl w:val="0"/>
          </w:rPr>
          <w:t xml:space="preserve">http://mffp.gouv.qc.ca/faune/peche/poissons/index.jsp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Exemple carte avec espèces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rFonts w:ascii="Rokkitt" w:cs="Rokkitt" w:eastAsia="Rokkitt" w:hAnsi="Rokkitt"/>
            <w:color w:val="1155cc"/>
            <w:u w:val="single"/>
            <w:rtl w:val="0"/>
          </w:rPr>
          <w:t xml:space="preserve">http://www.mddelcc.gouv.qc.ca/biodiversite/diversite/fleuve/index.htm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b w:val="1"/>
          <w:rtl w:val="0"/>
        </w:rPr>
        <w:t xml:space="preserve">La seule app semblable qui existe (au Vermont):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rFonts w:ascii="Rokkitt" w:cs="Rokkitt" w:eastAsia="Rokkitt" w:hAnsi="Rokkitt"/>
            <w:color w:val="1155cc"/>
            <w:u w:val="single"/>
            <w:rtl w:val="0"/>
          </w:rPr>
          <w:t xml:space="preserve">http://www.vtfishdiaries.com/index.html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kkitt" w:cs="Rokkitt" w:eastAsia="Rokkitt" w:hAnsi="Rokkitt"/>
          <w:rtl w:val="0"/>
        </w:rPr>
        <w:t xml:space="preserve">Annexe 2: Palette de couleurs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10150" cy="4238625"/>
            <wp:effectExtent b="0" l="0" r="0" t="0"/>
            <wp:docPr id="1" name="image02.png"/>
            <a:graphic>
              <a:graphicData uri="http://schemas.openxmlformats.org/drawingml/2006/picture">
                <pic:pic>
                  <pic:nvPicPr>
                    <pic:cNvPr id="0" name="image02.png"/>
                    <pic:cNvPicPr preferRelativeResize="0"/>
                  </pic:nvPicPr>
                  <pic:blipFill>
                    <a:blip r:embed="rId22"/>
                    <a:srcRect b="0" l="0" r="0" t="0"/>
                    <a:stretch>
                      <a:fillRect/>
                    </a:stretch>
                  </pic:blipFill>
                  <pic:spPr>
                    <a:xfrm>
                      <a:off x="0" y="0"/>
                      <a:ext cx="5010150" cy="4238625"/>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kkit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ddelcc.gouv.qc.ca/biodiversite/diversite/fleuve/index.htm" TargetMode="External"/><Relationship Id="rId11" Type="http://schemas.openxmlformats.org/officeDocument/2006/relationships/image" Target="media/image03.png"/><Relationship Id="rId22" Type="http://schemas.openxmlformats.org/officeDocument/2006/relationships/image" Target="media/image02.png"/><Relationship Id="rId10" Type="http://schemas.openxmlformats.org/officeDocument/2006/relationships/hyperlink" Target="mailto:derry.alison@uqam.ca" TargetMode="External"/><Relationship Id="rId21" Type="http://schemas.openxmlformats.org/officeDocument/2006/relationships/hyperlink" Target="http://www.vtfishdiaries.com/index.html" TargetMode="External"/><Relationship Id="rId13" Type="http://schemas.openxmlformats.org/officeDocument/2006/relationships/hyperlink" Target="https://www.donneesquebec.ca/recherche/fr/dataset/regles-de-peche-au-quebec" TargetMode="External"/><Relationship Id="rId12" Type="http://schemas.openxmlformats.org/officeDocument/2006/relationships/hyperlink" Target="https://www.mffp.gouv.qc.ca/publications/enligne/faune/reglementation-peche/pecher-quebec.a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beisner.beatrix@uqam.ca" TargetMode="External"/><Relationship Id="rId15" Type="http://schemas.openxmlformats.org/officeDocument/2006/relationships/hyperlink" Target="http://www.registrelep.gc.ca/search/advSearchResults_f.cfm?stype=species&amp;lng=f&amp;advkeywords=&amp;op=2&amp;locid=6&amp;taxid=3&amp;desid=1%2c4%2c7%2c10%2c2%2c5%2c8%2c3%2c6%2c9&amp;" TargetMode="External"/><Relationship Id="rId14" Type="http://schemas.openxmlformats.org/officeDocument/2006/relationships/hyperlink" Target="http://www.dfo-mpo.gc.ca/species-especes/listing-fra.htm" TargetMode="External"/><Relationship Id="rId17" Type="http://schemas.openxmlformats.org/officeDocument/2006/relationships/hyperlink" Target="http://mffp.gouv.qc.ca/faune/especes/envahissantes/index.jsp" TargetMode="External"/><Relationship Id="rId16" Type="http://schemas.openxmlformats.org/officeDocument/2006/relationships/hyperlink" Target="http://www3.mffp.gouv.qc.ca/faune/especes/menacees/liste.asp" TargetMode="External"/><Relationship Id="rId5" Type="http://schemas.openxmlformats.org/officeDocument/2006/relationships/hyperlink" Target="mailto:zofia.taranu@gmail.com" TargetMode="External"/><Relationship Id="rId19" Type="http://schemas.openxmlformats.org/officeDocument/2006/relationships/hyperlink" Target="http://mffp.gouv.qc.ca/faune/peche/poissons/index.jsp" TargetMode="External"/><Relationship Id="rId6" Type="http://schemas.openxmlformats.org/officeDocument/2006/relationships/hyperlink" Target="mailto:charles.charrier.t@gmail.com" TargetMode="External"/><Relationship Id="rId18" Type="http://schemas.openxmlformats.org/officeDocument/2006/relationships/hyperlink" Target="http://www.mddelcc.gouv.qc.ca/poissons/Fl-St-Laurent/St-Laurent.asp" TargetMode="External"/><Relationship Id="rId7" Type="http://schemas.openxmlformats.org/officeDocument/2006/relationships/hyperlink" Target="mailto:louisastorg@msn.com" TargetMode="External"/><Relationship Id="rId8" Type="http://schemas.openxmlformats.org/officeDocument/2006/relationships/hyperlink" Target="mailto:carina.pouli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kkitt-regular.ttf"/><Relationship Id="rId2" Type="http://schemas.openxmlformats.org/officeDocument/2006/relationships/font" Target="fonts/Rokkitt-bold.ttf"/></Relationships>
</file>