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Criterios de aceptación: </w:t>
      </w:r>
      <w:r w:rsidDel="00000000" w:rsidR="00000000" w:rsidRPr="00000000">
        <w:rPr>
          <w:rtl w:val="0"/>
        </w:rPr>
        <w:br w:type="textWrapping"/>
        <w:t xml:space="preserve">- La aplicación debe iniciar correctamente y mostrar la pantalla de bienvenida.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El usuario podrá explorar la plataforma sin necesidad de registro, ver y buscar barberías, productos y servicios con sus detalles correspondientes (ubicación, precios, descripción y fotos).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El usuario debe crear un perfil e iniciar sesión en la plataforma para reservar turnos, escribir en el foro, puntuar la calificar la barbería y su experiencia.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El usuario debe elegir la forma de pago para reservar un turno y luego de confirmar debe recibir un mensaje de confirmación.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Las barberías deben poder registrarse e iniciar sesión en la plataforma.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Las barberías pueden actualizar su perfil, agregar y actualizar productos y servicios de su catálogo.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Las barberías deben poder agregar turnos, revisar turnos confirmados y cancelar turnos.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Las barberías deben poder r</w:t>
      </w:r>
      <w:r w:rsidDel="00000000" w:rsidR="00000000" w:rsidRPr="00000000">
        <w:rPr>
          <w:rtl w:val="0"/>
        </w:rPr>
        <w:t xml:space="preserve">evisar y responder mensajes del foro.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El sistema deberá permitir a las barberías ver estadísticas de ranqueo y la calificación en estrellas.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Las barberías deben poder crear promociones de sus servicios y productos.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