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Sistema Distribuido para la Reserva de Boletos (SRB)</w:t>
      </w:r>
    </w:p>
    <w:p>
      <w:pPr>
        <w:spacing w:after="40"/>
        <w:jc w:val="center"/>
      </w:pPr>
      <w:r>
        <w:rPr>
          <w:rFonts w:ascii="Arial" w:cs="Arial" w:eastAsia="Arial" w:hAnsi="Arial"/>
          <w:sz w:val="22"/>
          <w:szCs w:val="22"/>
        </w:rPr>
        <w:t xml:space="preserve">Primera entrega – Informe de diseño de la arquitectura base</w:t>
      </w:r>
    </w:p>
    <w:p>
      <w:pPr>
        <w:pBdr>
          <w:bottom w:val="single" w:color="1F3864" w:sz="6" w:space="4"/>
        </w:pBdr>
        <w:spacing w:after="100"/>
        <w:jc w:val="center"/>
      </w:pPr>
      <w:r>
        <w:rPr>
          <w:rFonts w:ascii="Arial" w:cs="Arial" w:eastAsia="Arial" w:hAnsi="Arial"/>
          <w:sz w:val="16"/>
          <w:szCs w:val="16"/>
        </w:rPr>
        <w:t xml:space="preserve">Pontificia Universidad Javeriana · Introducción a Sistemas Distribuidos · 2026-30 · </w:t>
      </w:r>
      <w:r>
        <w:rPr>
          <w:rFonts w:ascii="Arial" w:cs="Arial" w:eastAsia="Arial" w:hAnsi="Arial"/>
          <w:b/>
          <w:bCs/>
          <w:sz w:val="16"/>
          <w:szCs w:val="16"/>
        </w:rPr>
        <w:t xml:space="preserve">Nicolas Esteban Jimenez Castiblanco</w:t>
      </w:r>
      <w:r>
        <w:rPr>
          <w:rFonts w:ascii="Arial" w:cs="Arial" w:eastAsia="Arial" w:hAnsi="Arial"/>
          <w:sz w:val="16"/>
          <w:szCs w:val="16"/>
        </w:rPr>
        <w:t xml:space="preserve"> · 11 de octubre de 2026</w:t>
      </w:r>
    </w:p>
    <w:p>
      <w:pPr>
        <w:spacing w:after="70" w:before="0" w:line="252"/>
        <w:jc w:val="both"/>
      </w:pPr>
      <w:r>
        <w:rPr>
          <w:rFonts w:ascii="Arial" w:cs="Arial" w:eastAsia="Arial" w:hAnsi="Arial"/>
          <w:sz w:val="20"/>
          <w:szCs w:val="20"/>
        </w:rPr>
        <w:t xml:space="preserve">El SRB permite consultar los eventos de un mes, reservar y modificar reservas de forma síncrona y cancelarlas de forma asíncrona. Este informe presenta los modelos del sistema, el diseño de la arquitectura base (Figura 1 del enunciado) desplegada en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dos máquinas</w:t>
      </w:r>
      <w:r>
        <w:rPr>
          <w:rFonts w:ascii="Arial" w:cs="Arial" w:eastAsia="Arial" w:hAnsi="Arial"/>
          <w:sz w:val="20"/>
          <w:szCs w:val="20"/>
        </w:rPr>
        <w:t xml:space="preserve">, por indicación del profesor, los componentes previstos para escalabilidad y tolerancia a fallos, el protocolo de pruebas y la estrategia de medición. La implementación entregada cubre las operaciones de consulta y reserva; modificación y cancelación están diseñadas, pero no se ejecutan en esta entrega.</w:t>
      </w:r>
    </w:p>
    <w:p>
      <w:pPr>
        <w:pStyle w:val="Heading1"/>
        <w:keepNext/>
        <w:pBdr>
          <w:bottom w:val="single" w:color="8EAADB" w:sz="4" w:space="1"/>
        </w:pBdr>
        <w:spacing w:after="60" w:before="13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1. Modelos del sistema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8456"/>
      </w:tblGrid>
      <w:tr>
        <w:trPr>
          <w:cantSplit/>
          <w:tblHeader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Modelo</w:t>
            </w:r>
          </w:p>
        </w:tc>
        <w:tc>
          <w:tcPr>
            <w:tcW w:type="dxa" w:w="84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Aplicación al SRB</w:t>
            </w:r>
          </w:p>
        </w:tc>
      </w:tr>
      <w:tr>
        <w:trPr>
          <w:cantSplit/>
          <w:tblHeader w:val="off"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Arquitectónico</w:t>
            </w:r>
          </w:p>
        </w:tc>
        <w:tc>
          <w:tcPr>
            <w:tcW w:type="dxa" w:w="84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Cliente-servidor en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tres capas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(consumidores, negocio, almacenamiento) con servicios en procesos independientes que solo se comunican por mensajes ZeroMQ sobre TCP. El Gestor de Transacciones actúa como intermediario (broker) entre clientes y RMC; el Servicio de Persistencia es el único dueño de los datos. Patrones: request/reply con ROUTER/DEALER para el canal síncrono y pipeline PUSH/PULL para el asíncrono.</w:t>
            </w:r>
          </w:p>
        </w:tc>
      </w:tr>
      <w:tr>
        <w:trPr>
          <w:cantSplit/>
          <w:tblHeader w:val="off"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 interacción</w:t>
            </w:r>
          </w:p>
        </w:tc>
        <w:tc>
          <w:tcPr>
            <w:tcW w:type="dxa" w:w="84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Sistema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asíncrono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en el sentido de Coulouris: sin cotas de tiempo para entrega ni relojes sincronizados entre máquinas. Por eso se usan tiempos de espera (5 s) en el cliente y en las llamadas a persistencia, y la latencia se mide con el reloj local del cliente. Dos estilos de comunicación: bloqueante (consulta, reserva, modificación) y no bloqueante (cancelación: el cliente envía y sigue trabajando; el resultado llega después como notificación). Cada solicitud lleva un identificador único (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C1-000042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) que correlaciona petición y respuesta.</w:t>
            </w:r>
          </w:p>
        </w:tc>
      </w:tr>
      <w:tr>
        <w:trPr>
          <w:cantSplit/>
          <w:tblHeader w:val="off"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 fallos</w:t>
            </w:r>
          </w:p>
        </w:tc>
        <w:tc>
          <w:tcPr>
            <w:tcW w:type="dxa" w:w="84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 consideran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fallos por caída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(crash) de los procesos Gestor y RMC y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omisión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de mensajes (pérdida o respuesta tardía), detectados por tiempo de espera. No se consideran fallos bizantinos. La persistencia se asume confiable en esta entrega: SQLite aplica transacciones ACID, de modo que una escritura se confirma completa o no se aplica. Esta entrega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no recupera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fallos; la recuperación se diseña en la sección 3.</w:t>
            </w:r>
          </w:p>
        </w:tc>
      </w:tr>
      <w:tr>
        <w:trPr>
          <w:cantSplit/>
          <w:tblHeader w:val="off"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 seguridad</w:t>
            </w:r>
          </w:p>
        </w:tc>
        <w:tc>
          <w:tcPr>
            <w:tcW w:type="dxa" w:w="84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Amenazas consideradas: acceso no autorizado a los puertos, suplantación del identificador de cliente, alteración de mensajes en tránsito, entradas malformadas y pérdida de integridad por reservas concurrentes.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Implementado: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validación de entradas en Gestor, RMC y Persistencia, consultas SQL parametrizadas y restricciones de integridad (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ocupados ≤ capacidad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, actualización condicional en transacción).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Previsto, no implementado: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autenticación y cifrado de canales (ZeroMQ CURVE) y restricción por firewall de los puertos de la Máquina 2 a la IP de la Máquina 1.</w:t>
            </w:r>
          </w:p>
        </w:tc>
      </w:tr>
    </w:tbl>
    <w:p>
      <w:pPr>
        <w:pStyle w:val="Heading1"/>
        <w:keepNext/>
        <w:pBdr>
          <w:bottom w:val="single" w:color="8EAADB" w:sz="4" w:space="1"/>
        </w:pBdr>
        <w:spacing w:after="60" w:before="13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2. Diseño de la arquitectura base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50"/>
        <w:gridCol w:w="5456"/>
      </w:tblGrid>
      <w:tr>
        <w:tc>
          <w:tcPr>
            <w:tcW w:type="dxa" w:w="4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p>
            <w:pPr>
              <w:keepNext/>
              <w:spacing w:after="0" w:before="40"/>
              <w:jc w:val="center"/>
            </w:pPr>
            <w:r>
              <w:drawing>
                <wp:inline distT="0" distB="0" distL="0" distR="0">
                  <wp:extent cx="2714625" cy="3829050"/>
                  <wp:effectExtent t="0" r="0" b="0" l="0"/>
                  <wp:docPr id="1" name="d1b.png" descr="d1b.png" title="d1b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4625" cy="3829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90" w:before="20"/>
              <w:jc w:val="center"/>
            </w:pPr>
            <w:r>
              <w:rPr>
                <w:rFonts w:ascii="Arial" w:cs="Arial" w:eastAsia="Arial" w:hAnsi="Arial"/>
                <w:i/>
                <w:iCs/>
                <w:color w:val="404040"/>
                <w:sz w:val="15"/>
                <w:szCs w:val="15"/>
              </w:rPr>
              <w:t xml:space="preserve">Figura 1. Diagrama de despliegue en dos máquinas.</w:t>
            </w:r>
          </w:p>
        </w:tc>
        <w:tc>
          <w:tcPr>
            <w:tcW w:type="dxa" w:w="54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0"/>
            </w:tcMar>
          </w:tcPr>
          <w:p>
            <w:pPr>
              <w:spacing w:after="70" w:before="40" w:line="252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Máquina 1 aloja los procesos cliente y la Máquina 2 las capas de negocio y almacenamiento. Aunque Gestor, RMC y Persistencia comparten máquina, se comunican por TCP como si estuvieran separados; pasar a tres máquinas en la entrega final solo exige mover la persistencia y cambiar su dirección en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config.json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  <w:tbl>
            <w:tblPr>
              <w:tblW w:type="dxa" w:w="533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30"/>
              <w:gridCol w:w="1400"/>
              <w:gridCol w:w="1600"/>
            </w:tblGrid>
            <w:tr>
              <w:trPr>
                <w:cantSplit/>
                <w:tblHeader/>
              </w:trPr>
              <w:tc>
                <w:tcPr>
                  <w:tcW w:type="dxa" w:w="233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D9E2F3" w:color="auto" w:val="clear"/>
                  <w:tcMar>
                    <w:top w:type="dxa" w:w="35"/>
                    <w:left w:type="dxa" w:w="80"/>
                    <w:bottom w:type="dxa" w:w="35"/>
                    <w:right w:type="dxa" w:w="80"/>
                  </w:tcMar>
                </w:tcPr>
                <w:p>
                  <w:pPr>
                    <w:spacing w:after="0" w:line="2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Enlace</w:t>
                  </w:r>
                </w:p>
              </w:tc>
              <w:tc>
                <w:tcPr>
                  <w:tcW w:type="dxa" w:w="14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D9E2F3" w:color="auto" w:val="clear"/>
                  <w:tcMar>
                    <w:top w:type="dxa" w:w="35"/>
                    <w:left w:type="dxa" w:w="80"/>
                    <w:bottom w:type="dxa" w:w="35"/>
                    <w:right w:type="dxa" w:w="80"/>
                  </w:tcMar>
                </w:tcPr>
                <w:p>
                  <w:pPr>
                    <w:spacing w:after="0" w:line="2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Patrón</w:t>
                  </w:r>
                </w:p>
              </w:tc>
              <w:tc>
                <w:tcPr>
                  <w:tcW w:type="dxa" w:w="16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D9E2F3" w:color="auto" w:val="clear"/>
                  <w:tcMar>
                    <w:top w:type="dxa" w:w="35"/>
                    <w:left w:type="dxa" w:w="80"/>
                    <w:bottom w:type="dxa" w:w="35"/>
                    <w:right w:type="dxa" w:w="80"/>
                  </w:tcMar>
                </w:tcPr>
                <w:p>
                  <w:pPr>
                    <w:spacing w:after="0" w:line="2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Puerto</w:t>
                  </w:r>
                </w:p>
              </w:tc>
            </w:tr>
            <w:tr>
              <w:trPr>
                <w:cantSplit/>
                <w:tblHeader w:val="off"/>
              </w:trPr>
              <w:tc>
                <w:tcPr>
                  <w:tcW w:type="dxa" w:w="233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F2F2F2" w:color="auto" w:val="clear"/>
                  <w:tcMar>
                    <w:top w:type="dxa" w:w="35"/>
                    <w:left w:type="dxa" w:w="80"/>
                    <w:bottom w:type="dxa" w:w="35"/>
                    <w:right w:type="dxa" w:w="80"/>
                  </w:tcMar>
                </w:tcPr>
                <w:p>
                  <w:pPr>
                    <w:spacing w:after="0" w:line="2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Cliente → Gestor (consulta, reserva, modificación)</w:t>
                  </w:r>
                </w:p>
              </w:tc>
              <w:tc>
                <w:tcPr>
                  <w:tcW w:type="dxa" w:w="14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35"/>
                    <w:left w:type="dxa" w:w="80"/>
                    <w:bottom w:type="dxa" w:w="35"/>
                    <w:right w:type="dxa" w:w="80"/>
                  </w:tcMar>
                </w:tcPr>
                <w:p>
                  <w:pPr>
                    <w:spacing w:after="0" w:line="2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7"/>
                      <w:szCs w:val="17"/>
                    </w:rPr>
                    <w:t xml:space="preserve">REQ → ROUTER</w:t>
                  </w:r>
                </w:p>
              </w:tc>
              <w:tc>
                <w:tcPr>
                  <w:tcW w:type="dxa" w:w="16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35"/>
                    <w:left w:type="dxa" w:w="80"/>
                    <w:bottom w:type="dxa" w:w="35"/>
                    <w:right w:type="dxa" w:w="80"/>
                  </w:tcMar>
                </w:tcPr>
                <w:p>
                  <w:pPr>
                    <w:spacing w:after="0" w:line="2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7"/>
                      <w:szCs w:val="17"/>
                    </w:rPr>
                    <w:t xml:space="preserve">5555</w:t>
                  </w:r>
                </w:p>
              </w:tc>
            </w:tr>
            <w:tr>
              <w:trPr>
                <w:cantSplit/>
                <w:tblHeader w:val="off"/>
              </w:trPr>
              <w:tc>
                <w:tcPr>
                  <w:tcW w:type="dxa" w:w="233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F2F2F2" w:color="auto" w:val="clear"/>
                  <w:tcMar>
                    <w:top w:type="dxa" w:w="35"/>
                    <w:left w:type="dxa" w:w="80"/>
                    <w:bottom w:type="dxa" w:w="35"/>
                    <w:right w:type="dxa" w:w="80"/>
                  </w:tcMar>
                </w:tcPr>
                <w:p>
                  <w:pPr>
                    <w:spacing w:after="0" w:line="2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Cliente → Gestor (cancelación)</w:t>
                  </w:r>
                </w:p>
              </w:tc>
              <w:tc>
                <w:tcPr>
                  <w:tcW w:type="dxa" w:w="14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35"/>
                    <w:left w:type="dxa" w:w="80"/>
                    <w:bottom w:type="dxa" w:w="35"/>
                    <w:right w:type="dxa" w:w="80"/>
                  </w:tcMar>
                </w:tcPr>
                <w:p>
                  <w:pPr>
                    <w:spacing w:after="0" w:line="2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7"/>
                      <w:szCs w:val="17"/>
                    </w:rPr>
                    <w:t xml:space="preserve">PUSH → PULL</w:t>
                  </w:r>
                </w:p>
              </w:tc>
              <w:tc>
                <w:tcPr>
                  <w:tcW w:type="dxa" w:w="16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35"/>
                    <w:left w:type="dxa" w:w="80"/>
                    <w:bottom w:type="dxa" w:w="35"/>
                    <w:right w:type="dxa" w:w="80"/>
                  </w:tcMar>
                </w:tcPr>
                <w:p>
                  <w:pPr>
                    <w:spacing w:after="0" w:line="2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7"/>
                      <w:szCs w:val="17"/>
                    </w:rPr>
                    <w:t xml:space="preserve">5556</w:t>
                  </w:r>
                </w:p>
              </w:tc>
            </w:tr>
            <w:tr>
              <w:trPr>
                <w:cantSplit/>
                <w:tblHeader w:val="off"/>
              </w:trPr>
              <w:tc>
                <w:tcPr>
                  <w:tcW w:type="dxa" w:w="233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F2F2F2" w:color="auto" w:val="clear"/>
                  <w:tcMar>
                    <w:top w:type="dxa" w:w="35"/>
                    <w:left w:type="dxa" w:w="80"/>
                    <w:bottom w:type="dxa" w:w="35"/>
                    <w:right w:type="dxa" w:w="80"/>
                  </w:tcMar>
                </w:tcPr>
                <w:p>
                  <w:pPr>
                    <w:spacing w:after="0" w:line="2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Gestor → RMC</w:t>
                  </w:r>
                </w:p>
              </w:tc>
              <w:tc>
                <w:tcPr>
                  <w:tcW w:type="dxa" w:w="14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35"/>
                    <w:left w:type="dxa" w:w="80"/>
                    <w:bottom w:type="dxa" w:w="35"/>
                    <w:right w:type="dxa" w:w="80"/>
                  </w:tcMar>
                </w:tcPr>
                <w:p>
                  <w:pPr>
                    <w:spacing w:after="0" w:line="2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7"/>
                      <w:szCs w:val="17"/>
                    </w:rPr>
                    <w:t xml:space="preserve">DEALER → REP</w:t>
                  </w:r>
                </w:p>
              </w:tc>
              <w:tc>
                <w:tcPr>
                  <w:tcW w:type="dxa" w:w="16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35"/>
                    <w:left w:type="dxa" w:w="80"/>
                    <w:bottom w:type="dxa" w:w="35"/>
                    <w:right w:type="dxa" w:w="80"/>
                  </w:tcMar>
                </w:tcPr>
                <w:p>
                  <w:pPr>
                    <w:spacing w:after="0" w:line="2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7"/>
                      <w:szCs w:val="17"/>
                    </w:rPr>
                    <w:t xml:space="preserve">5557</w:t>
                  </w:r>
                </w:p>
              </w:tc>
            </w:tr>
            <w:tr>
              <w:trPr>
                <w:cantSplit/>
                <w:tblHeader w:val="off"/>
              </w:trPr>
              <w:tc>
                <w:tcPr>
                  <w:tcW w:type="dxa" w:w="233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F2F2F2" w:color="auto" w:val="clear"/>
                  <w:tcMar>
                    <w:top w:type="dxa" w:w="35"/>
                    <w:left w:type="dxa" w:w="80"/>
                    <w:bottom w:type="dxa" w:w="35"/>
                    <w:right w:type="dxa" w:w="80"/>
                  </w:tcMar>
                </w:tcPr>
                <w:p>
                  <w:pPr>
                    <w:spacing w:after="0" w:line="2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Gestor → Cancelaciones</w:t>
                  </w:r>
                </w:p>
              </w:tc>
              <w:tc>
                <w:tcPr>
                  <w:tcW w:type="dxa" w:w="14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35"/>
                    <w:left w:type="dxa" w:w="80"/>
                    <w:bottom w:type="dxa" w:w="35"/>
                    <w:right w:type="dxa" w:w="80"/>
                  </w:tcMar>
                </w:tcPr>
                <w:p>
                  <w:pPr>
                    <w:spacing w:after="0" w:line="2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7"/>
                      <w:szCs w:val="17"/>
                    </w:rPr>
                    <w:t xml:space="preserve">PUSH → PULL</w:t>
                  </w:r>
                </w:p>
              </w:tc>
              <w:tc>
                <w:tcPr>
                  <w:tcW w:type="dxa" w:w="16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35"/>
                    <w:left w:type="dxa" w:w="80"/>
                    <w:bottom w:type="dxa" w:w="35"/>
                    <w:right w:type="dxa" w:w="80"/>
                  </w:tcMar>
                </w:tcPr>
                <w:p>
                  <w:pPr>
                    <w:spacing w:after="0" w:line="2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7"/>
                      <w:szCs w:val="17"/>
                    </w:rPr>
                    <w:t xml:space="preserve">5558</w:t>
                  </w:r>
                </w:p>
              </w:tc>
            </w:tr>
            <w:tr>
              <w:trPr>
                <w:cantSplit/>
                <w:tblHeader w:val="off"/>
              </w:trPr>
              <w:tc>
                <w:tcPr>
                  <w:tcW w:type="dxa" w:w="233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F2F2F2" w:color="auto" w:val="clear"/>
                  <w:tcMar>
                    <w:top w:type="dxa" w:w="35"/>
                    <w:left w:type="dxa" w:w="80"/>
                    <w:bottom w:type="dxa" w:w="35"/>
                    <w:right w:type="dxa" w:w="80"/>
                  </w:tcMar>
                </w:tcPr>
                <w:p>
                  <w:pPr>
                    <w:spacing w:after="0" w:line="2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RMC, Cancelaciones → Persistencia</w:t>
                  </w:r>
                </w:p>
              </w:tc>
              <w:tc>
                <w:tcPr>
                  <w:tcW w:type="dxa" w:w="14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35"/>
                    <w:left w:type="dxa" w:w="80"/>
                    <w:bottom w:type="dxa" w:w="35"/>
                    <w:right w:type="dxa" w:w="80"/>
                  </w:tcMar>
                </w:tcPr>
                <w:p>
                  <w:pPr>
                    <w:spacing w:after="0" w:line="2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7"/>
                      <w:szCs w:val="17"/>
                    </w:rPr>
                    <w:t xml:space="preserve">REQ → REP</w:t>
                  </w:r>
                </w:p>
              </w:tc>
              <w:tc>
                <w:tcPr>
                  <w:tcW w:type="dxa" w:w="16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35"/>
                    <w:left w:type="dxa" w:w="80"/>
                    <w:bottom w:type="dxa" w:w="35"/>
                    <w:right w:type="dxa" w:w="80"/>
                  </w:tcMar>
                </w:tcPr>
                <w:p>
                  <w:pPr>
                    <w:spacing w:after="0" w:line="2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7"/>
                      <w:szCs w:val="17"/>
                    </w:rPr>
                    <w:t xml:space="preserve">5559</w:t>
                  </w:r>
                </w:p>
              </w:tc>
            </w:tr>
            <w:tr>
              <w:trPr>
                <w:cantSplit/>
                <w:tblHeader w:val="off"/>
              </w:trPr>
              <w:tc>
                <w:tcPr>
                  <w:tcW w:type="dxa" w:w="233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F2F2F2" w:color="auto" w:val="clear"/>
                  <w:tcMar>
                    <w:top w:type="dxa" w:w="35"/>
                    <w:left w:type="dxa" w:w="80"/>
                    <w:bottom w:type="dxa" w:w="35"/>
                    <w:right w:type="dxa" w:w="80"/>
                  </w:tcMar>
                </w:tcPr>
                <w:p>
                  <w:pPr>
                    <w:spacing w:after="0" w:line="2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Cancelaciones → Cliente (notificación)</w:t>
                  </w:r>
                </w:p>
              </w:tc>
              <w:tc>
                <w:tcPr>
                  <w:tcW w:type="dxa" w:w="14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35"/>
                    <w:left w:type="dxa" w:w="80"/>
                    <w:bottom w:type="dxa" w:w="35"/>
                    <w:right w:type="dxa" w:w="80"/>
                  </w:tcMar>
                </w:tcPr>
                <w:p>
                  <w:pPr>
                    <w:spacing w:after="0" w:line="2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7"/>
                      <w:szCs w:val="17"/>
                    </w:rPr>
                    <w:t xml:space="preserve">PUSH → PULL</w:t>
                  </w:r>
                </w:p>
              </w:tc>
              <w:tc>
                <w:tcPr>
                  <w:tcW w:type="dxa" w:w="16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35"/>
                    <w:left w:type="dxa" w:w="80"/>
                    <w:bottom w:type="dxa" w:w="35"/>
                    <w:right w:type="dxa" w:w="80"/>
                  </w:tcMar>
                </w:tcPr>
                <w:p>
                  <w:pPr>
                    <w:spacing w:after="0" w:line="2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7"/>
                      <w:szCs w:val="17"/>
                    </w:rPr>
                    <w:t xml:space="preserve">600n (cliente)</w:t>
                  </w:r>
                </w:p>
              </w:tc>
            </w:tr>
          </w:tbl>
          <w:p>
            <w:pPr>
              <w:spacing w:after="40" w:before="0"/>
            </w:pPr>
          </w:p>
          <w:p>
            <w:pPr>
              <w:spacing w:after="70" w:before="0" w:line="252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Las solicitudes síncronas entran al Gestor por un ROUTER y salen al RMC por un DEALER que conserva la identidad del cliente, por lo que el Gestor atiende a varios clientes sin bloquearse. En la cancelación, el cliente incluye el endpoint de su socket PULL, al que Cancelaciones envía la notificación.</w:t>
            </w:r>
          </w:p>
        </w:tc>
      </w:tr>
    </w:tbl>
    <w:p>
      <w:pPr>
        <w:spacing w:after="6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50"/>
        <w:gridCol w:w="4556"/>
      </w:tblGrid>
      <w:tr>
        <w:tc>
          <w:tcPr>
            <w:tcW w:type="dxa" w:w="5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p>
            <w:pPr>
              <w:keepNext/>
              <w:spacing w:after="0" w:before="40"/>
              <w:jc w:val="center"/>
            </w:pPr>
            <w:r>
              <w:drawing>
                <wp:inline distT="0" distB="0" distL="0" distR="0">
                  <wp:extent cx="3143250" cy="3981450"/>
                  <wp:effectExtent t="0" r="0" b="0" l="0"/>
                  <wp:docPr id="2" name="d2b.png" descr="d2b.png" title="d2b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0" cy="398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90" w:before="20"/>
              <w:jc w:val="center"/>
            </w:pPr>
            <w:r>
              <w:rPr>
                <w:rFonts w:ascii="Arial" w:cs="Arial" w:eastAsia="Arial" w:hAnsi="Arial"/>
                <w:i/>
                <w:iCs/>
                <w:color w:val="404040"/>
                <w:sz w:val="15"/>
                <w:szCs w:val="15"/>
              </w:rPr>
              <w:t xml:space="preserve">Figura 2. Diagrama de componentes.</w:t>
            </w:r>
          </w:p>
        </w:tc>
        <w:tc>
          <w:tcPr>
            <w:tcW w:type="dxa" w:w="45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0"/>
            </w:tcMar>
          </w:tcPr>
          <w:p>
            <w:pPr>
              <w:spacing w:after="70" w:before="40" w:line="252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Cada capa expone interfaces mínimas a la siguiente: el Gestor ofrece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ISincrona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ICancelacion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a los clientes; el RMC,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IProcesamiento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; Cancelaciones,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ICancelacionInterna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y Persistencia,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IPersistencia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 El cliente expone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INotificacion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para recibir el resultado de una cancelación.</w:t>
            </w:r>
          </w:p>
          <w:p>
            <w:pPr>
              <w:spacing w:after="7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Modelo de datos.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Tres entidades: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evento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(id, nombre, número de ocurrencias),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ocurrencia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(evento, fecha, capacidad, ocupados) y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reserva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(id, cliente, evento, fecha, asientos, estado). Se cargan 50 eventos de un mes, 20 de ellos con dos ocurrencias, con 100 asientos por ocurrencia.</w:t>
            </w:r>
          </w:p>
          <w:p>
            <w:pPr>
              <w:spacing w:after="7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Consistencia.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La Persistencia es el único proceso que accede a la BD y atiende una solicitud a la vez. Cada escritura corre en una transacción que revalida el cupo antes de actualizar, así dos reservas simultáneas no pueden vender el mismo asiento.</w:t>
            </w:r>
          </w:p>
          <w:p>
            <w:pPr>
              <w:spacing w:after="7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Medición.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El Gestor incluye un contador de TPM por operación y el cliente un registro de latencias, que alimentan las métricas de la sección 5.</w:t>
            </w:r>
          </w:p>
        </w:tc>
      </w:tr>
    </w:tbl>
    <w:p>
      <w:pPr>
        <w:spacing w:after="60" w:before="0"/>
      </w:pPr>
    </w:p>
    <w:p>
      <w:pPr>
        <w:keepNext/>
        <w:spacing w:after="0" w:before="40"/>
        <w:jc w:val="center"/>
      </w:pPr>
      <w:r>
        <w:drawing>
          <wp:inline distT="0" distB="0" distL="0" distR="0">
            <wp:extent cx="5715000" cy="3352800"/>
            <wp:effectExtent t="0" r="0" b="0" l="0"/>
            <wp:docPr id="3" name="d3_clases.png" descr="d3_clases.png" title="d3_clas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 w:before="20"/>
        <w:jc w:val="center"/>
      </w:pPr>
      <w:r>
        <w:rPr>
          <w:rFonts w:ascii="Arial" w:cs="Arial" w:eastAsia="Arial" w:hAnsi="Arial"/>
          <w:i/>
          <w:iCs/>
          <w:color w:val="404040"/>
          <w:sz w:val="15"/>
          <w:szCs w:val="15"/>
        </w:rPr>
        <w:t xml:space="preserve">Figura 3. Diagrama de clases (clases principales de cada capa).</w:t>
      </w:r>
    </w:p>
    <w:p>
      <w:pPr>
        <w:spacing w:after="30" w:before="0" w:line="252"/>
        <w:jc w:val="both"/>
      </w:pPr>
      <w:r>
        <w:rPr>
          <w:rFonts w:ascii="Arial" w:cs="Arial" w:eastAsia="Arial" w:hAnsi="Arial"/>
          <w:sz w:val="20"/>
          <w:szCs w:val="20"/>
        </w:rPr>
        <w:t xml:space="preserve">La reserva (Figura 4) es el flujo síncrono completo: el RMC consulta la disponibilidad y solo si hay cupo pide la confirmación; la respuesta vuelve por el mismo camino. La consulta sigue la misma ruta con la acción </w:t>
      </w:r>
      <w:r>
        <w:rPr>
          <w:rFonts w:ascii="Consolas" w:cs="Consolas" w:eastAsia="Consolas" w:hAnsi="Consolas"/>
          <w:sz w:val="19"/>
          <w:szCs w:val="19"/>
        </w:rPr>
        <w:t xml:space="preserve">EVENTOS_MES</w:t>
      </w:r>
      <w:r>
        <w:rPr>
          <w:rFonts w:ascii="Arial" w:cs="Arial" w:eastAsia="Arial" w:hAnsi="Arial"/>
          <w:sz w:val="20"/>
          <w:szCs w:val="20"/>
        </w:rPr>
        <w:t xml:space="preserve">, y la modificación agrega la lectura de la reserva actual; ambas están en </w:t>
      </w:r>
      <w:r>
        <w:rPr>
          <w:rFonts w:ascii="Consolas" w:cs="Consolas" w:eastAsia="Consolas" w:hAnsi="Consolas"/>
          <w:sz w:val="19"/>
          <w:szCs w:val="19"/>
        </w:rPr>
        <w:t xml:space="preserve">docs/diagramas</w:t>
      </w:r>
      <w:r>
        <w:rPr>
          <w:rFonts w:ascii="Arial" w:cs="Arial" w:eastAsia="Arial" w:hAnsi="Arial"/>
          <w:sz w:val="20"/>
          <w:szCs w:val="20"/>
        </w:rPr>
        <w:t xml:space="preserve">. La cancelación (Figura 5) es asíncrona: el cliente no espera y recibe la notificación después.</w:t>
      </w:r>
    </w:p>
    <w:p>
      <w:pPr>
        <w:keepNext/>
        <w:spacing w:after="0" w:before="40"/>
        <w:jc w:val="center"/>
      </w:pPr>
      <w:r>
        <w:drawing>
          <wp:inline distT="0" distB="0" distL="0" distR="0">
            <wp:extent cx="5905500" cy="2743200"/>
            <wp:effectExtent t="0" r="0" b="0" l="0"/>
            <wp:docPr id="4" name="d4_sec_reserva.png" descr="d4_sec_reserva.png" title="d4_sec_reserv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 w:before="20"/>
        <w:jc w:val="center"/>
      </w:pPr>
      <w:r>
        <w:rPr>
          <w:rFonts w:ascii="Arial" w:cs="Arial" w:eastAsia="Arial" w:hAnsi="Arial"/>
          <w:i/>
          <w:iCs/>
          <w:color w:val="404040"/>
          <w:sz w:val="15"/>
          <w:szCs w:val="15"/>
        </w:rPr>
        <w:t xml:space="preserve">Figura 4. Diagrama de secuencia de la reserva de asientos (síncrona).</w:t>
      </w:r>
    </w:p>
    <w:p>
      <w:pPr>
        <w:keepNext/>
        <w:spacing w:after="0" w:before="40"/>
        <w:jc w:val="center"/>
      </w:pPr>
      <w:r>
        <w:drawing>
          <wp:inline distT="0" distB="0" distL="0" distR="0">
            <wp:extent cx="6096000" cy="1838325"/>
            <wp:effectExtent t="0" r="0" b="0" l="0"/>
            <wp:docPr id="5" name="d5_sec_cancelacion.png" descr="d5_sec_cancelacion.png" title="d5_sec_cancelac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 w:before="20"/>
        <w:jc w:val="center"/>
      </w:pPr>
      <w:r>
        <w:rPr>
          <w:rFonts w:ascii="Arial" w:cs="Arial" w:eastAsia="Arial" w:hAnsi="Arial"/>
          <w:i/>
          <w:iCs/>
          <w:color w:val="404040"/>
          <w:sz w:val="15"/>
          <w:szCs w:val="15"/>
        </w:rPr>
        <w:t xml:space="preserve">Figura 5. Diagrama de secuencia de la cancelación con notificación (asíncrona; diseñada, no ejecutada en esta entrega).</w:t>
      </w:r>
    </w:p>
    <w:p>
      <w:pPr>
        <w:pStyle w:val="Heading1"/>
        <w:keepNext/>
        <w:pBdr>
          <w:bottom w:val="single" w:color="8EAADB" w:sz="4" w:space="1"/>
        </w:pBdr>
        <w:spacing w:after="60" w:before="13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3. Componentes para escalabilidad y tolerancia a fallos</w:t>
      </w:r>
    </w:p>
    <w:p>
      <w:pPr>
        <w:spacing w:after="50" w:before="0" w:line="252"/>
        <w:jc w:val="both"/>
      </w:pPr>
      <w:r>
        <w:rPr>
          <w:rFonts w:ascii="Arial" w:cs="Arial" w:eastAsia="Arial" w:hAnsi="Arial"/>
          <w:sz w:val="20"/>
          <w:szCs w:val="20"/>
        </w:rPr>
        <w:t xml:space="preserve">Solo se mencionan y justifican; los diagramas completos corresponden a la segunda entrega.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1350"/>
        <w:gridCol w:w="5806"/>
      </w:tblGrid>
      <w:tr>
        <w:trPr>
          <w:cantSplit/>
          <w:tblHeader/>
        </w:trPr>
        <w:tc>
          <w:tcPr>
            <w:tcW w:type="dxa" w:w="2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Componente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Atributo</w:t>
            </w:r>
          </w:p>
        </w:tc>
        <w:tc>
          <w:tcPr>
            <w:tcW w:type="dxa" w:w="5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Justificación</w:t>
            </w:r>
          </w:p>
        </w:tc>
      </w:tr>
      <w:tr>
        <w:trPr>
          <w:cantSplit/>
          <w:tblHeader w:val="off"/>
        </w:trPr>
        <w:tc>
          <w:tcPr>
            <w:tcW w:type="dxa" w:w="2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Réplicas del RMC detrás del Gestor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Escalabilidad</w:t>
            </w:r>
          </w:p>
        </w:tc>
        <w:tc>
          <w:tcPr>
            <w:tcW w:type="dxa" w:w="5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El RMC es el cuello de botella de las operaciones síncronas. El DEALER del Gestor reparte por turnos entre varios REP sin cambiar a clientes ni protocolo.</w:t>
            </w:r>
          </w:p>
        </w:tc>
      </w:tr>
      <w:tr>
        <w:trPr>
          <w:cantSplit/>
          <w:tblHeader w:val="off"/>
        </w:trPr>
        <w:tc>
          <w:tcPr>
            <w:tcW w:type="dxa" w:w="2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Réplica de la base de datos (primario/secundario)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Escalabilidad y disponibilidad</w:t>
            </w:r>
          </w:p>
        </w:tc>
        <w:tc>
          <w:tcPr>
            <w:tcW w:type="dxa" w:w="5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Las consultas dominan la carga: pueden leerse del secundario y las escrituras (reservas) van al primario, que además queda respaldado si falla.</w:t>
            </w:r>
          </w:p>
        </w:tc>
      </w:tr>
      <w:tr>
        <w:trPr>
          <w:cantSplit/>
          <w:tblHeader w:val="off"/>
        </w:trPr>
        <w:tc>
          <w:tcPr>
            <w:tcW w:type="dxa" w:w="2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Gestor de Transacciones de respaldo con latidos (heartbeat)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Tolerancia a fallos</w:t>
            </w:r>
          </w:p>
        </w:tc>
        <w:tc>
          <w:tcPr>
            <w:tcW w:type="dxa" w:w="5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 respaldo en caliente detecta la caída del Gestor por ausencia de latidos y asume el puerto; los clientes reintentan hacia la misma dirección y la falla les resulta transparente.</w:t>
            </w:r>
          </w:p>
        </w:tc>
      </w:tr>
      <w:tr>
        <w:trPr>
          <w:cantSplit/>
          <w:tblHeader w:val="off"/>
        </w:trPr>
        <w:tc>
          <w:tcPr>
            <w:tcW w:type="dxa" w:w="2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Supervisor de procesos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Tolerancia a fallos</w:t>
            </w:r>
          </w:p>
        </w:tc>
        <w:tc>
          <w:tcPr>
            <w:tcW w:type="dxa" w:w="5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Detecta la caída de un RMC o del Gestor y lanza un proceso nuevo que lo sustituye, como exige el enunciado.</w:t>
            </w:r>
          </w:p>
        </w:tc>
      </w:tr>
      <w:tr>
        <w:trPr>
          <w:cantSplit/>
          <w:tblHeader w:val="off"/>
        </w:trPr>
        <w:tc>
          <w:tcPr>
            <w:tcW w:type="dxa" w:w="2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Identificadores de solicitud e idempotencia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Tolerancia a fallos</w:t>
            </w:r>
          </w:p>
        </w:tc>
        <w:tc>
          <w:tcPr>
            <w:tcW w:type="dxa" w:w="5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 reintentos puede repetirse un mensaje; guardar los identificadores ya procesados evita reservar dos veces y permite continuar la operación donde quedó.</w:t>
            </w:r>
          </w:p>
        </w:tc>
      </w:tr>
      <w:tr>
        <w:trPr>
          <w:cantSplit/>
          <w:tblHeader w:val="off"/>
        </w:trPr>
        <w:tc>
          <w:tcPr>
            <w:tcW w:type="dxa" w:w="2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Cola durable de cancelaciones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Tolerancia a fallos</w:t>
            </w:r>
          </w:p>
        </w:tc>
        <w:tc>
          <w:tcPr>
            <w:tcW w:type="dxa" w:w="5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Una cancelación aceptada y respondida al cliente no debe perderse si cae el servicio; se guarda hasta confirmar su aplicación.</w:t>
            </w:r>
          </w:p>
        </w:tc>
      </w:tr>
    </w:tbl>
    <w:p>
      <w:pPr>
        <w:pStyle w:val="Heading1"/>
        <w:keepNext/>
        <w:pBdr>
          <w:bottom w:val="single" w:color="8EAADB" w:sz="4" w:space="1"/>
        </w:pBdr>
        <w:spacing w:after="60" w:before="13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4. Protocolo de pruebas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900"/>
        <w:gridCol w:w="3106"/>
      </w:tblGrid>
      <w:tr>
        <w:trPr>
          <w:cantSplit/>
          <w:tblHeader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Tipo de prueba</w:t>
            </w:r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Qué se verifica y cómo</w:t>
            </w:r>
          </w:p>
        </w:tc>
        <w:tc>
          <w:tcPr>
            <w:tcW w:type="dxa" w:w="3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Criterio de aceptación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Unitarias</w:t>
            </w:r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Repositorio (disponibilidad, creación de reserva), codificación de mensajes y análisis de parámetros del cliente, con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unittest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y BD temporal.</w:t>
            </w:r>
          </w:p>
        </w:tc>
        <w:tc>
          <w:tcPr>
            <w:tcW w:type="dxa" w:w="3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Resultados esperados en cada caso, incluidos los límites (0 asientos, cupo exacto).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Integración</w:t>
            </w:r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Flujo cliente → Gestor → RMC → Persistencia con todos los servicios activos.</w:t>
            </w:r>
          </w:p>
        </w:tc>
        <w:tc>
          <w:tcPr>
            <w:tcW w:type="dxa" w:w="3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Cada solicitud recibe la respuesta correcta y queda reflejada en la BD.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Funcionales</w:t>
            </w:r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Consulta, reserva exitosa y rechazada, modificación y cancelación con notificación; casos de prueba del profesor.</w:t>
            </w:r>
          </w:p>
        </w:tc>
        <w:tc>
          <w:tcPr>
            <w:tcW w:type="dxa" w:w="3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La BD antes y después coincide con el caso de prueba.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Concurrencia</w:t>
            </w:r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Varios clientes reservan a la vez el mismo evento.</w:t>
            </w:r>
          </w:p>
        </w:tc>
        <w:tc>
          <w:tcPr>
            <w:tcW w:type="dxa" w:w="3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Nunca se supera la capacidad (sin sobreventa).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Robustez y validación</w:t>
            </w:r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Mensajes malformados, eventos o fechas inexistentes, asientos ≤ 0.</w:t>
            </w:r>
          </w:p>
        </w:tc>
        <w:tc>
          <w:tcPr>
            <w:tcW w:type="dxa" w:w="3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Respuesta de error o rechazo; ningún proceso se detiene.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Desempeño y carga</w:t>
            </w:r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3, 5 y 8 clientes durante 2–3 min en arquitectura base y escalable (Tabla 1 del enunciado).</w:t>
            </w:r>
          </w:p>
        </w:tc>
        <w:tc>
          <w:tcPr>
            <w:tcW w:type="dxa" w:w="3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Métricas completas y comparables entre arquitecturas.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Escalabilidad</w:t>
            </w:r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Aumentar clientes y réplicas hasta saturar y observar el punto de quiebre.</w:t>
            </w:r>
          </w:p>
        </w:tc>
        <w:tc>
          <w:tcPr>
            <w:tcW w:type="dxa" w:w="3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La arquitectura escalable mantiene tiempos menores o iguales.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Tolerancia a fallos</w:t>
            </w:r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Terminar el Gestor y el RMC en plena carga.</w:t>
            </w:r>
          </w:p>
        </w:tc>
        <w:tc>
          <w:tcPr>
            <w:tcW w:type="dxa" w:w="3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 proceso nuevo asume el trabajo; sin reservas perdidas ni duplicadas.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Seguridad</w:t>
            </w:r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Entradas con caracteres SQL, mensajes alterados y revisión de puertos expuestos.</w:t>
            </w:r>
          </w:p>
        </w:tc>
        <w:tc>
          <w:tcPr>
            <w:tcW w:type="dxa" w:w="3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Sin alteración de datos ni acceso desde hosts no autorizados.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Despliegue</w:t>
            </w:r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Ejecución en dos y tres máquinas distintas.</w:t>
            </w:r>
          </w:p>
        </w:tc>
        <w:tc>
          <w:tcPr>
            <w:tcW w:type="dxa" w:w="3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Mismo comportamiento que en una sola máquina.</w:t>
            </w:r>
          </w:p>
        </w:tc>
      </w:tr>
    </w:tbl>
    <w:p>
      <w:pPr>
        <w:spacing w:after="70" w:before="60" w:line="252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Estado actual:</w:t>
      </w:r>
      <w:r>
        <w:rPr>
          <w:rFonts w:ascii="Arial" w:cs="Arial" w:eastAsia="Arial" w:hAnsi="Arial"/>
          <w:sz w:val="20"/>
          <w:szCs w:val="20"/>
        </w:rPr>
        <w:t xml:space="preserve"> las pruebas de integración, funcionales y de concurrencia de consulta y reserva están automatizadas en </w:t>
      </w:r>
      <w:r>
        <w:rPr>
          <w:rFonts w:ascii="Consolas" w:cs="Consolas" w:eastAsia="Consolas" w:hAnsi="Consolas"/>
          <w:sz w:val="19"/>
          <w:szCs w:val="19"/>
        </w:rPr>
        <w:t xml:space="preserve">prueba_funcional.py</w:t>
      </w:r>
      <w:r>
        <w:rPr>
          <w:rFonts w:ascii="Arial" w:cs="Arial" w:eastAsia="Arial" w:hAnsi="Arial"/>
          <w:sz w:val="20"/>
          <w:szCs w:val="20"/>
        </w:rPr>
        <w:t xml:space="preserve"> (11 verificaciones, todas superadas en una sola máquina). El resto se completa en la segunda entrega.</w:t>
      </w:r>
    </w:p>
    <w:p>
      <w:pPr>
        <w:pStyle w:val="Heading1"/>
        <w:keepNext/>
        <w:pBdr>
          <w:bottom w:val="single" w:color="8EAADB" w:sz="4" w:space="1"/>
        </w:pBdr>
        <w:spacing w:after="60" w:before="13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5. Herramientas para métricas y generación de carga</w:t>
      </w:r>
    </w:p>
    <w:p>
      <w:pPr>
        <w:spacing w:after="70" w:before="0" w:line="252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Tiempo de respuesta (promedio y desviación estándar).</w:t>
      </w:r>
      <w:r>
        <w:rPr>
          <w:rFonts w:ascii="Arial" w:cs="Arial" w:eastAsia="Arial" w:hAnsi="Arial"/>
          <w:sz w:val="20"/>
          <w:szCs w:val="20"/>
        </w:rPr>
        <w:t xml:space="preserve"> Cada cliente mide con </w:t>
      </w:r>
      <w:r>
        <w:rPr>
          <w:rFonts w:ascii="Consolas" w:cs="Consolas" w:eastAsia="Consolas" w:hAnsi="Consolas"/>
          <w:sz w:val="19"/>
          <w:szCs w:val="19"/>
        </w:rPr>
        <w:t xml:space="preserve">time.perf_counter()</w:t>
      </w:r>
      <w:r>
        <w:rPr>
          <w:rFonts w:ascii="Arial" w:cs="Arial" w:eastAsia="Arial" w:hAnsi="Arial"/>
          <w:sz w:val="20"/>
          <w:szCs w:val="20"/>
        </w:rPr>
        <w:t xml:space="preserve"> el tiempo entre el envío y la recepción de la respuesta y guarda cada medición en </w:t>
      </w:r>
      <w:r>
        <w:rPr>
          <w:rFonts w:ascii="Consolas" w:cs="Consolas" w:eastAsia="Consolas" w:hAnsi="Consolas"/>
          <w:sz w:val="19"/>
          <w:szCs w:val="19"/>
        </w:rPr>
        <w:t xml:space="preserve">resultados/metricas_&lt;cliente&gt;.csv</w:t>
      </w:r>
      <w:r>
        <w:rPr>
          <w:rFonts w:ascii="Arial" w:cs="Arial" w:eastAsia="Arial" w:hAnsi="Arial"/>
          <w:sz w:val="20"/>
          <w:szCs w:val="20"/>
        </w:rPr>
        <w:t xml:space="preserve">; el resumen se calcula con el módulo </w:t>
      </w:r>
      <w:r>
        <w:rPr>
          <w:rFonts w:ascii="Consolas" w:cs="Consolas" w:eastAsia="Consolas" w:hAnsi="Consolas"/>
          <w:sz w:val="19"/>
          <w:szCs w:val="19"/>
        </w:rPr>
        <w:t xml:space="preserve">statistics</w:t>
      </w:r>
      <w:r>
        <w:rPr>
          <w:rFonts w:ascii="Arial" w:cs="Arial" w:eastAsia="Arial" w:hAnsi="Arial"/>
          <w:sz w:val="20"/>
          <w:szCs w:val="20"/>
        </w:rPr>
        <w:t xml:space="preserve"> de Python (desviación estándar muestral), separado por consulta y reserva.</w:t>
      </w:r>
    </w:p>
    <w:p>
      <w:pPr>
        <w:spacing w:after="70" w:before="0" w:line="252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Transacciones por minuto (TPM).</w:t>
      </w:r>
      <w:r>
        <w:rPr>
          <w:rFonts w:ascii="Arial" w:cs="Arial" w:eastAsia="Arial" w:hAnsi="Arial"/>
          <w:sz w:val="20"/>
          <w:szCs w:val="20"/>
        </w:rPr>
        <w:t xml:space="preserve"> El Gestor de Transacciones cuenta las transacciones completadas por operación y por minuto de ejecución y las exporta a </w:t>
      </w:r>
      <w:r>
        <w:rPr>
          <w:rFonts w:ascii="Consolas" w:cs="Consolas" w:eastAsia="Consolas" w:hAnsi="Consolas"/>
          <w:sz w:val="19"/>
          <w:szCs w:val="19"/>
        </w:rPr>
        <w:t xml:space="preserve">resultados/tpm_gestor.csv</w:t>
      </w:r>
      <w:r>
        <w:rPr>
          <w:rFonts w:ascii="Arial" w:cs="Arial" w:eastAsia="Arial" w:hAnsi="Arial"/>
          <w:sz w:val="20"/>
          <w:szCs w:val="20"/>
        </w:rPr>
        <w:t xml:space="preserve">; el total de reservas se contrasta contra la tabla </w:t>
      </w:r>
      <w:r>
        <w:rPr>
          <w:rFonts w:ascii="Consolas" w:cs="Consolas" w:eastAsia="Consolas" w:hAnsi="Consolas"/>
          <w:sz w:val="19"/>
          <w:szCs w:val="19"/>
        </w:rPr>
        <w:t xml:space="preserve">reserva</w:t>
      </w:r>
      <w:r>
        <w:rPr>
          <w:rFonts w:ascii="Arial" w:cs="Arial" w:eastAsia="Arial" w:hAnsi="Arial"/>
          <w:sz w:val="20"/>
          <w:szCs w:val="20"/>
        </w:rPr>
        <w:t xml:space="preserve"> de la BD. Los resultados se tabularán y graficarán con </w:t>
      </w:r>
      <w:r>
        <w:rPr>
          <w:rFonts w:ascii="Consolas" w:cs="Consolas" w:eastAsia="Consolas" w:hAnsi="Consolas"/>
          <w:sz w:val="19"/>
          <w:szCs w:val="19"/>
        </w:rPr>
        <w:t xml:space="preserve">pandas</w:t>
      </w:r>
      <w:r>
        <w:rPr>
          <w:rFonts w:ascii="Arial" w:cs="Arial" w:eastAsia="Arial" w:hAnsi="Arial"/>
          <w:sz w:val="20"/>
          <w:szCs w:val="20"/>
        </w:rPr>
        <w:t xml:space="preserve"> y </w:t>
      </w:r>
      <w:r>
        <w:rPr>
          <w:rFonts w:ascii="Consolas" w:cs="Consolas" w:eastAsia="Consolas" w:hAnsi="Consolas"/>
          <w:sz w:val="19"/>
          <w:szCs w:val="19"/>
        </w:rPr>
        <w:t xml:space="preserve">matplotlib</w:t>
      </w:r>
      <w:r>
        <w:rPr>
          <w:rFonts w:ascii="Arial" w:cs="Arial" w:eastAsia="Arial" w:hAnsi="Arial"/>
          <w:sz w:val="20"/>
          <w:szCs w:val="20"/>
        </w:rPr>
        <w:t xml:space="preserve"> para comparar la arquitectura base y la escalable en 3, 5 y 8 clientes.</w:t>
      </w:r>
    </w:p>
    <w:p>
      <w:pPr>
        <w:spacing w:after="70" w:before="0" w:line="252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Generación de carga.</w:t>
      </w:r>
      <w:r>
        <w:rPr>
          <w:rFonts w:ascii="Arial" w:cs="Arial" w:eastAsia="Arial" w:hAnsi="Arial"/>
          <w:sz w:val="20"/>
          <w:szCs w:val="20"/>
        </w:rP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cliente.py</w:t>
      </w:r>
      <w:r>
        <w:rPr>
          <w:rFonts w:ascii="Arial" w:cs="Arial" w:eastAsia="Arial" w:hAnsi="Arial"/>
          <w:sz w:val="20"/>
          <w:szCs w:val="20"/>
        </w:rPr>
        <w:t xml:space="preserve"> (Python y </w:t>
      </w:r>
      <w:r>
        <w:rPr>
          <w:rFonts w:ascii="Consolas" w:cs="Consolas" w:eastAsia="Consolas" w:hAnsi="Consolas"/>
          <w:sz w:val="19"/>
          <w:szCs w:val="19"/>
        </w:rPr>
        <w:t xml:space="preserve">pyzmq</w:t>
      </w:r>
      <w:r>
        <w:rPr>
          <w:rFonts w:ascii="Arial" w:cs="Arial" w:eastAsia="Arial" w:hAnsi="Arial"/>
          <w:sz w:val="20"/>
          <w:szCs w:val="20"/>
        </w:rPr>
        <w:t xml:space="preserve">) simula un cliente por proceso con parámetros: solicitudes por minuto (mínimo 20), mezcla porcentual de operaciones, duración y semilla aleatoria; también acepta un script JSON con operaciones explícitas. Los escenarios de la Tabla 1 se obtienen lanzando varios procesos en paralelo, con </w:t>
      </w:r>
      <w:r>
        <w:rPr>
          <w:rFonts w:ascii="Consolas" w:cs="Consolas" w:eastAsia="Consolas" w:hAnsi="Consolas"/>
          <w:sz w:val="19"/>
          <w:szCs w:val="19"/>
        </w:rPr>
        <w:t xml:space="preserve">consulta=100</w:t>
      </w:r>
      <w:r>
        <w:rPr>
          <w:rFonts w:ascii="Arial" w:cs="Arial" w:eastAsia="Arial" w:hAnsi="Arial"/>
          <w:sz w:val="20"/>
          <w:szCs w:val="20"/>
        </w:rPr>
        <w:t xml:space="preserve"> para los clientes que solo consultan. Se descartó JMeter y Locust como generadores primarios porque ZeroMQ no es HTTP y exigirían un cliente propio; el generador reutiliza el mismo cliente del sistema, y Locust podría envolverlo si hiciera falta.</w:t>
      </w:r>
    </w:p>
    <w:sectPr>
      <w:footerReference w:type="default" r:id="rId6"/>
      <w:pgSz w:w="11906" w:h="16838" w:orient="portrait"/>
      <w:pgMar w:top="900" w:right="1000" w:bottom="900" w:left="1000" w:header="708" w:footer="4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4"/>
        <w:szCs w:val="14"/>
      </w:rPr>
      <w:t xml:space="preserve">SRB – Primera entrega · Página </w:t>
    </w:r>
    <w:r>
      <w:rPr>
        <w:rFonts w:ascii="Arial" w:cs="Arial" w:eastAsia="Arial" w:hAnsi="Arial"/>
        <w:color w:val="595959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4"/>
        <w:szCs w:val="14"/>
      </w:rPr>
      <w:t xml:space="preserve"> de </w:t>
    </w:r>
    <w:r>
      <w:rPr>
        <w:rFonts w:ascii="Arial" w:cs="Arial" w:eastAsia="Arial" w:hAnsi="Arial"/>
        <w:color w:val="595959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130"/>
      <w:outlineLvl w:val="0"/>
    </w:pPr>
    <w:rPr>
      <w:rFonts w:ascii="Arial" w:cs="Arial" w:eastAsia="Arial" w:hAnsi="Arial"/>
      <w:b/>
      <w:bCs/>
      <w:color w:val="1F3864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9fcd738daab55a1993ac658d9641ad256a5ec9a7.png"/><Relationship Id="rId9" Type="http://schemas.openxmlformats.org/officeDocument/2006/relationships/image" Target="media/4798f30a592dab91ff9afe7371cdbfd7930813ba.png"/><Relationship Id="rId10" Type="http://schemas.openxmlformats.org/officeDocument/2006/relationships/image" Target="media/007c9c93035f3cb9fc3856d6f2244bbadd6809a1.png"/><Relationship Id="rId11" Type="http://schemas.openxmlformats.org/officeDocument/2006/relationships/image" Target="media/03092c3dc6293f966598a919795d060a4b8e573f.png"/><Relationship Id="rId12" Type="http://schemas.openxmlformats.org/officeDocument/2006/relationships/image" Target="media/28c9a6a5a9722cfa8b472fad6d4cd35f4f5a53c0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SRB – Primera entrega</dc:title>
  <dc:creator>Nicolas Esteban Jimenez Castiblanco</dc:creator>
  <cp:lastModifiedBy>Un-named</cp:lastModifiedBy>
  <cp:revision>1</cp:revision>
  <dcterms:created xsi:type="dcterms:W3CDTF">2026-10-12T01:51:21.919Z</dcterms:created>
  <dcterms:modified xsi:type="dcterms:W3CDTF">2026-10-12T01:51:21.920Z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