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900"/>
      </w:pPr>
    </w:p>
    <w:p>
      <w:pPr>
        <w:jc w:val="center"/>
      </w:pPr>
      <w:r>
        <w:drawing>
          <wp:inline distT="0" distB="0" distL="0" distR="0">
            <wp:extent cx="3810000" cy="876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500"/>
        <w:jc w:val="center"/>
      </w:pPr>
      <w:r>
        <w:rPr>
          <w:b/>
          <w:bCs/>
          <w:color w:val="1E1E1E"/>
          <w:sz w:val="60"/>
          <w:szCs w:val="60"/>
        </w:rPr>
        <w:t xml:space="preserve">FICHES PROCESS</w:t>
      </w:r>
    </w:p>
    <w:p>
      <w:pPr>
        <w:spacing w:after="100"/>
        <w:jc w:val="center"/>
      </w:pPr>
      <w:r>
        <w:rPr>
          <w:b/>
          <w:bCs/>
          <w:color w:val="29ACE2"/>
          <w:sz w:val="30"/>
          <w:szCs w:val="30"/>
        </w:rPr>
        <w:t xml:space="preserve">Édition AMSOM Habitat</w:t>
      </w:r>
    </w:p>
    <w:p>
      <w:pPr>
        <w:spacing w:after="800"/>
        <w:jc w:val="center"/>
      </w:pPr>
      <w:r>
        <w:rPr>
          <w:color w:val="555555"/>
          <w:sz w:val="24"/>
          <w:szCs w:val="24"/>
        </w:rPr>
        <w:t xml:space="preserve">Office Public de l'Habitat de la Somme — Lots 2, 3 et 4</w:t>
      </w:r>
    </w:p>
    <w:p>
      <w:pPr>
        <w:spacing w:before="1400"/>
        <w:jc w:val="center"/>
      </w:pPr>
      <w:r>
        <w:rPr>
          <w:i/>
          <w:iCs/>
          <w:color w:val="777777"/>
          <w:sz w:val="20"/>
          <w:szCs w:val="20"/>
        </w:rPr>
        <w:t xml:space="preserve">Document interne — Protocoles d'intervention, délais contractuels et EPI par nature d'intervention, sur le patrimoine AMSOM Habitat (15 306 logements, 60 communes de la Somme).</w:t>
      </w:r>
    </w:p>
    <w:p>
      <w:r>
        <w:br w:type="page"/>
      </w:r>
    </w:p>
    <w:p>
      <w:pPr>
        <w:pStyle w:val="Heading1"/>
      </w:pPr>
      <w:r>
        <w:rPr>
          <w:b/>
          <w:bCs/>
          <w:color w:val="1E1E1E"/>
          <w:sz w:val="30"/>
          <w:szCs w:val="30"/>
        </w:rPr>
        <w:t xml:space="preserve">Sommaire</w:t>
      </w:r>
    </w:p>
    <w:p>
      <w:pPr>
        <w:spacing w:before="150"/>
      </w:pP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1. DÉRATISATION — Lot 3</w:t>
      </w: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2. DÉSINSECTISATION CURATIVE GÉNÉRALISÉE — Lot 2</w:t>
      </w: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3. PUNAISES DE LIT — intégré au Lot 2</w:t>
      </w: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4. DÉSINFECTION</w:t>
      </w: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5. DÉPIGEONNAGE — Lot 4</w:t>
      </w:r>
    </w:p>
    <w:p>
      <w:pPr>
        <w:spacing w:after="100"/>
      </w:pPr>
      <w:r>
        <w:rPr>
          <w:b/>
          <w:bCs/>
          <w:color w:val="29ACE2"/>
          <w:sz w:val="22"/>
          <w:szCs w:val="22"/>
        </w:rPr>
        <w:t xml:space="preserve">6. De l'audit AMDEC au plan d'action</w:t>
      </w:r>
    </w:p>
    <w:p>
      <w:r>
        <w:br w:type="page"/>
      </w:r>
    </w:p>
    <w:p>
      <w:pPr>
        <w:pStyle w:val="Heading1"/>
      </w:pPr>
      <w:r>
        <w:rPr>
          <w:b/>
          <w:bCs/>
          <w:color w:val="1E1E1E"/>
          <w:sz w:val="30"/>
          <w:szCs w:val="30"/>
        </w:rPr>
        <w:t xml:space="preserve">6. De l'audit AMDEC au plan d'action</w:t>
      </w:r>
    </w:p>
    <w:p>
      <w:pPr>
        <w:spacing w:after="200" w:before="150"/>
      </w:pPr>
      <w:r>
        <w:rPr>
          <w:color w:val="444444"/>
          <w:sz w:val="20"/>
          <w:szCs w:val="20"/>
        </w:rPr>
        <w:t xml:space="preserve">Chaque audit note les modes de défaillance identifiés selon la méthode AMDEC : Gravité (S), Fréquence/Occurrence (O) et Détectabilité (D), chacune notée de 1 (faible) à 5 (élevée). La Criticité (S × O × D, de 1 à 125) détermine ensuite le régime à appliquer et le délai d'intervention à respecter, selon la grille ci-dessous.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600"/>
        <w:gridCol w:w="2750"/>
        <w:gridCol w:w="3000"/>
      </w:tblGrid>
      <w:tr>
        <w:trPr>
          <w:tblHeader/>
        </w:trPr>
        <w:tc>
          <w:tcPr>
            <w:tcW w:type="dxa" w:w="20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Niveau de criticité</w:t>
            </w:r>
          </w:p>
        </w:tc>
        <w:tc>
          <w:tcPr>
            <w:tcW w:type="dxa" w:w="16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Score S × O × D</w:t>
            </w:r>
          </w:p>
        </w:tc>
        <w:tc>
          <w:tcPr>
            <w:tcW w:type="dxa" w:w="275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Délai d'intervention</w:t>
            </w:r>
          </w:p>
        </w:tc>
        <w:tc>
          <w:tcPr>
            <w:tcW w:type="dxa" w:w="3000"/>
            <w:shd w:fill="1E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Régime à appliquer</w:t>
            </w:r>
          </w:p>
        </w:tc>
      </w:tr>
      <w:tr>
        <w:tc>
          <w:tcPr>
            <w:tcW w:type="dxa" w:w="2000"/>
            <w:shd w:fill="FDED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C0392B"/>
                <w:sz w:val="19"/>
                <w:szCs w:val="19"/>
              </w:rPr>
              <w:t xml:space="preserve">CRITIQUE</w:t>
            </w:r>
          </w:p>
        </w:tc>
        <w:tc>
          <w:tcPr>
            <w:tcW w:type="dxa" w:w="1600"/>
            <w:shd w:fill="FDEDE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≥ 60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Urgence contractuelle AMSOM : 4h (Lot 2 désinsectisation / Lot 3 dératisation) ou 24h (Lot 4 dépigeonnage, pigeons en logement occupé)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Curatif immédiat, avec suivi rapproché jusqu'à résorption</w:t>
            </w:r>
          </w:p>
        </w:tc>
      </w:tr>
      <w:tr>
        <w:tc>
          <w:tcPr>
            <w:tcW w:type="dxa" w:w="2000"/>
            <w:shd w:fill="FEF5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B9770E"/>
                <w:sz w:val="19"/>
                <w:szCs w:val="19"/>
              </w:rPr>
              <w:t xml:space="preserve">ÉLEVÉ</w:t>
            </w:r>
          </w:p>
        </w:tc>
        <w:tc>
          <w:tcPr>
            <w:tcW w:type="dxa" w:w="1600"/>
            <w:shd w:fill="FEF5E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30 à 59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Délai standard de prise en charge AMSOM : 24h ouvrées (Lots 2/3) ou 48h ouvrées (Lot 4)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Curatif programmé</w:t>
            </w:r>
          </w:p>
        </w:tc>
      </w:tr>
      <w:tr>
        <w:tc>
          <w:tcPr>
            <w:tcW w:type="dxa" w:w="2000"/>
            <w:shd w:fill="EBF5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A5276"/>
                <w:sz w:val="19"/>
                <w:szCs w:val="19"/>
              </w:rPr>
              <w:t xml:space="preserve">MODÉRÉ</w:t>
            </w:r>
          </w:p>
        </w:tc>
        <w:tc>
          <w:tcPr>
            <w:tcW w:type="dxa" w:w="1600"/>
            <w:shd w:fill="EBF5F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12 à 29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Traité dans le cadre du planning courant, sous 15 jours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Curatif ciblé ou suivi renforcé</w:t>
            </w:r>
          </w:p>
        </w:tc>
      </w:tr>
      <w:tr>
        <w:tc>
          <w:tcPr>
            <w:tcW w:type="dxa" w:w="2000"/>
            <w:shd w:fill="E9F7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8449"/>
                <w:sz w:val="19"/>
                <w:szCs w:val="19"/>
              </w:rPr>
              <w:t xml:space="preserve">FAIBLE</w:t>
            </w:r>
          </w:p>
        </w:tc>
        <w:tc>
          <w:tcPr>
            <w:tcW w:type="dxa" w:w="1600"/>
            <w:shd w:fill="E9F7E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&lt; 12</w:t>
            </w:r>
          </w:p>
        </w:tc>
        <w:tc>
          <w:tcPr>
            <w:tcW w:type="dxa" w:w="27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Suivi lors du prochain passage ; signalé dans la synthèse mensuelle AMSOM (Annexe 5, sous 5 jours ouvrés)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Suivi (relève du Lot 1, hors périmètre HPS 3D)</w:t>
            </w:r>
          </w:p>
        </w:tc>
      </w:tr>
    </w:tbl>
    <w:p>
      <w:pPr>
        <w:spacing w:before="220"/>
      </w:pPr>
      <w:r>
        <w:rPr>
          <w:i/>
          <w:iCs/>
          <w:color w:val="555555"/>
          <w:sz w:val="19"/>
          <w:szCs w:val="19"/>
        </w:rPr>
        <w:t xml:space="preserve">Cette correspondance s'applique aux quatre lots AMSOM (2, 3, 4 et Punaises de lit) ainsi qu'à la fiche Désinfection : le niveau de criticité relevé lors de l'audit indique directement le délai à respecter. Un audit qui ne relève aucun mode de défaillance au-delà du niveau « Modéré » relève du suivi courant (hors urgence) ; dès qu'un mode de défaillance atteint « Élevé » ou « Critique », le protocole d'intervention de la fiche correspondante doit être engagé dans le délai contractuel indiqué.</w:t>
      </w:r>
    </w:p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0"/>
            <w:tcBorders>
              <w:bottom w:val="single" w:color="29ACE2" w:sz="12" w:space="4"/>
            </w:tcBorders>
            <w:vAlign w:val="center"/>
          </w:tcPr>
          <w:p>
            <w:pPr>
              <w:spacing w:after="100" w:before="100"/>
            </w:pPr>
            <w:r>
              <w:rPr>
                <w:b/>
                <w:bCs/>
                <w:color w:val="1E1E1E"/>
                <w:sz w:val="30"/>
                <w:szCs w:val="30"/>
              </w:rPr>
              <w:t xml:space="preserve">1. DÉRATISATION — Lot 3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9"/>
          <w:szCs w:val="19"/>
        </w:rPr>
        <w:t xml:space="preserve">Rats, souris, loirs/lérots — Marché AMSOM Habitat, Lot 3 (dératisation).</w:t>
      </w:r>
    </w:p>
    <w:p>
      <w:pPr>
        <w:shd w:fill="FFF8E1" w:val="clear"/>
        <w:spacing w:after="200" w:before="100"/>
      </w:pPr>
      <w:r>
        <w:rPr>
          <w:b/>
          <w:bCs/>
          <w:color w:val="8A6D00"/>
          <w:sz w:val="18"/>
          <w:szCs w:val="18"/>
        </w:rPr>
        <w:t xml:space="preserve">  ⓘ Périmètre du marché AMSOM : </w:t>
      </w:r>
      <w:r>
        <w:rPr>
          <w:color w:val="6B5900"/>
          <w:sz w:val="18"/>
          <w:szCs w:val="18"/>
        </w:rPr>
        <w:t xml:space="preserve">le régime préventif (campagnes régulières) relève du Lot 1, non attribué à HPS 3D. HPS 3D intervient exclusivement en curatif, sur signalement de l'Office (Lot 3).</w:t>
      </w:r>
    </w:p>
    <w:p>
      <w:pPr>
        <w:spacing w:after="150"/>
      </w:pPr>
      <w:r>
        <w:rPr>
          <w:b/>
          <w:bCs/>
          <w:color w:val="1E1E1E"/>
          <w:sz w:val="18"/>
          <w:szCs w:val="18"/>
        </w:rPr>
        <w:t xml:space="preserve">Lien avec l'audit AMDEC : </w:t>
      </w:r>
      <w:r>
        <w:rPr>
          <w:i/>
          <w:iCs/>
          <w:color w:val="555555"/>
          <w:sz w:val="18"/>
          <w:szCs w:val="18"/>
        </w:rPr>
        <w:t xml:space="preserve">criticité Élevée/Critique → intervention dans le délai contractuel AMSOM indiqué ci-dessus ; criticité Faible/Modérée → suivi lors du prochain passage (cf. chapitre 6, « De l'audit AMDEC au plan d'action »).</w:t>
      </w:r>
    </w:p>
    <w:p>
      <w:pPr>
        <w:shd w:fill="FDEDEC" w:val="clear"/>
        <w:spacing w:after="90" w:before="220"/>
      </w:pPr>
      <w:r>
        <w:rPr>
          <w:b/>
          <w:bCs/>
          <w:color w:val="C0392B"/>
          <w:sz w:val="21"/>
          <w:szCs w:val="21"/>
        </w:rPr>
        <w:t xml:space="preserve">  PROTOCOLE D'INTERVENTION (CURATIF)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450"/>
      </w:tblGrid>
      <w:tr>
        <w:trPr>
          <w:tblHeader/>
        </w:trPr>
        <w:tc>
          <w:tcPr>
            <w:tcW w:type="dxa" w:w="25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à mener</w:t>
            </w:r>
          </w:p>
        </w:tc>
        <w:tc>
          <w:tcPr>
            <w:tcW w:type="dxa" w:w="44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 (méthode)</w:t>
            </w:r>
          </w:p>
        </w:tc>
        <w:tc>
          <w:tcPr>
            <w:tcW w:type="dxa" w:w="245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 requis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1. Diagnostic préalable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Inspection intérieur/extérieur, identification de l'espèce (rat surmulot, rat noir, souris, loir/lérot), évaluation de la pression (faible/moyenne/forte), cartographie des voies d'entrée et des gîtes. Diagnostic transmis à l'Office sous 24h.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 nitrile résistants biocides, masque FFP3, lunettes de protection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2. Plan et déploiement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Choix du dispositif adapté (postes d'appâtage sécurisés à double fermeture, pièges mécaniques, gel/mousse). Avis de passage 48h avant en logement occupé. Pose signalée par autocollant à 1,50 m ; localisation transmise à l'Office.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Gants, combinaison jetable en espace confiné/fortement infesté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3. Contrôle et clôture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Relevé à J+5 (souris) / J+7 (rats) puis hebdomadaire. Collecte systématique des cadavres (double-sac étanche, BSDD). Clôture après 2 visites consécutives sans activité — délai maximum 30 jours sans compte-rendu à l'Office.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Gants, kit de décontamination (désinfectant de surface)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4. Préconisations structurelles (sur commande)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Liste des travaux de mise en étanchéité recommandés : rebouchage trous/fissures (DERA16), calfeutrage (DERA17), pose de baguettes de protection (DERA13) — réalisables par HPS sur commande de l'Office ou transmis au service technique AMSOM.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hd w:fill="F7F7F7" w:val="clear"/>
        <w:spacing w:after="100" w:before="220"/>
      </w:pPr>
      <w:r>
        <w:rPr>
          <w:b/>
          <w:bCs/>
          <w:color w:val="1E1E1E"/>
          <w:sz w:val="18"/>
          <w:szCs w:val="18"/>
        </w:rPr>
        <w:t xml:space="preserve">  Compte-rendu : </w:t>
      </w:r>
      <w:r>
        <w:rPr>
          <w:color w:val="444444"/>
          <w:sz w:val="18"/>
          <w:szCs w:val="18"/>
        </w:rPr>
        <w:t xml:space="preserve">bulletin d'intervention numérique sous 48h ; synthèse mensuelle AMSOM (Annexe 5) sous 5 jours ouvrés ; délai de prise en charge commande Office : 24h ouvrées (urgence rats en logement occupé : 4h).</w:t>
      </w:r>
    </w:p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0"/>
            <w:tcBorders>
              <w:bottom w:val="single" w:color="29ACE2" w:sz="12" w:space="4"/>
            </w:tcBorders>
            <w:vAlign w:val="center"/>
          </w:tcPr>
          <w:p>
            <w:pPr>
              <w:spacing w:after="100" w:before="100"/>
            </w:pPr>
            <w:r>
              <w:rPr>
                <w:b/>
                <w:bCs/>
                <w:color w:val="1E1E1E"/>
                <w:sz w:val="30"/>
                <w:szCs w:val="30"/>
              </w:rPr>
              <w:t xml:space="preserve">2. DÉSINSECTISATION CURATIVE GÉNÉRALISÉE — Lot 2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9"/>
          <w:szCs w:val="19"/>
        </w:rPr>
        <w:t xml:space="preserve">Blattes et nuisibles rampants/volants — Marché AMSOM Habitat, Lot 2 (curatif généralisé).</w:t>
      </w:r>
    </w:p>
    <w:p>
      <w:pPr>
        <w:shd w:fill="FFF8E1" w:val="clear"/>
        <w:spacing w:after="200" w:before="100"/>
      </w:pPr>
      <w:r>
        <w:rPr>
          <w:b/>
          <w:bCs/>
          <w:color w:val="8A6D00"/>
          <w:sz w:val="18"/>
          <w:szCs w:val="18"/>
        </w:rPr>
        <w:t xml:space="preserve">  ⓘ Périmètre du marché AMSOM : </w:t>
      </w:r>
      <w:r>
        <w:rPr>
          <w:color w:val="6B5900"/>
          <w:sz w:val="18"/>
          <w:szCs w:val="18"/>
        </w:rPr>
        <w:t xml:space="preserve">HPS 3D intervient en curatif généralisé sur signalement de l'Office (Lot 2). Le préventif relève du Lot 1, non attribué à HPS 3D — coordination systématique avec le titulaire du Lot 1 pour éviter tout doublon.</w:t>
      </w:r>
    </w:p>
    <w:p>
      <w:pPr>
        <w:spacing w:after="150"/>
      </w:pPr>
      <w:r>
        <w:rPr>
          <w:b/>
          <w:bCs/>
          <w:color w:val="1E1E1E"/>
          <w:sz w:val="18"/>
          <w:szCs w:val="18"/>
        </w:rPr>
        <w:t xml:space="preserve">Lien avec l'audit AMDEC : </w:t>
      </w:r>
      <w:r>
        <w:rPr>
          <w:i/>
          <w:iCs/>
          <w:color w:val="555555"/>
          <w:sz w:val="18"/>
          <w:szCs w:val="18"/>
        </w:rPr>
        <w:t xml:space="preserve">criticité Élevée/Critique → intervention dans le délai contractuel AMSOM indiqué ci-dessus ; criticité Faible/Modérée → suivi lors du prochain passage (cf. chapitre 6, « De l'audit AMDEC au plan d'action »).</w:t>
      </w:r>
    </w:p>
    <w:p>
      <w:pPr>
        <w:shd w:fill="FDEDEC" w:val="clear"/>
        <w:spacing w:after="90" w:before="220"/>
      </w:pPr>
      <w:r>
        <w:rPr>
          <w:b/>
          <w:bCs/>
          <w:color w:val="C0392B"/>
          <w:sz w:val="21"/>
          <w:szCs w:val="21"/>
        </w:rPr>
        <w:t xml:space="preserve">  PROTOCOLE D'INTERVENTION (CURATIF)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450"/>
      </w:tblGrid>
      <w:tr>
        <w:trPr>
          <w:tblHeader/>
        </w:trPr>
        <w:tc>
          <w:tcPr>
            <w:tcW w:type="dxa" w:w="25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à mener</w:t>
            </w:r>
          </w:p>
        </w:tc>
        <w:tc>
          <w:tcPr>
            <w:tcW w:type="dxa" w:w="44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 (méthode)</w:t>
            </w:r>
          </w:p>
        </w:tc>
        <w:tc>
          <w:tcPr>
            <w:tcW w:type="dxa" w:w="245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 requis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1. Diagnostic (J-0)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Inspection exhaustive du/des logement(s) signalé(s) et des parties communes. Évaluation du niveau d'infestation (1 à 4), identification de l'espèce, cartographie des zones refuges. Transmission du diagnostic à l'Office sous 24h.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Masque à cartouches vapeurs organiques + P3, gants nitrile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2. Préparation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Avis de passage 48h avant, consignes au locataire (vider placards, dégager siphons, être présent). Affichette AMSOM en hall d'entrée.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3. Traitement — logement isolé (DES201/DES202)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Niveaux 1-2 : gel de précision sur zones refuges + pulvérisation insecticide de contact, aspiration préalable des œufs, contrôle J+21, garantie 6 mois (DES201). Niveaux 3-4 : aspiration HEPA + nébulisation à froid + gel de précision combinés, 2 passages obligatoires (J+0 et J+21), traitement des cavités cachées — électroménager, faux-plafonds, gaines (DES202).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Combinaison chimique catégorie 3 type 5/6, lunettes de protection étanches, chaussures S3, tablier imperméable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4. Traitement — entrée/bâtiment complet (DES203)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Mobilisation simultanée de toute l'équipe disponible pour traiter l'ensemble de l'entrée en une seule journée. Traitement synchronisé logements + parties communes + caves pour couper toutes les voies de transfert. Cartographie de l'infestation avant/après transmise à l'Office sous 48h.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Combinaison chimique catégorie 3 type 5/6, masque à cartouches vapeurs organiques + P3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5. Traitement — résidence complète (DES204)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Plan d'intervention par bâtiment/entrée transmis à l'Office pour validation avant démarrage. Équipes supplémentaires mobilisées si nécessaire — résidence traitée en 3 à 5 jours maximum. Cartographie évolutive partagée avec l'Office en temps réel via extranet.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Combinaison chimique catégorie 3 type 5/6, EPI adaptés aux interventions en hauteur si parties communes en étages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6. Contrôle et garantie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Visite de contrôle à J+21 et J+42. Obligation de résultat : nouveau traitement sans facturation supplémentaire si persistance constatée.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</w:t>
            </w:r>
          </w:p>
        </w:tc>
      </w:tr>
    </w:tbl>
    <w:p>
      <w:pPr>
        <w:shd w:fill="F7F7F7" w:val="clear"/>
        <w:spacing w:after="100" w:before="220"/>
      </w:pPr>
      <w:r>
        <w:rPr>
          <w:b/>
          <w:bCs/>
          <w:color w:val="1E1E1E"/>
          <w:sz w:val="18"/>
          <w:szCs w:val="18"/>
        </w:rPr>
        <w:t xml:space="preserve">  Compte-rendu : </w:t>
      </w:r>
      <w:r>
        <w:rPr>
          <w:color w:val="444444"/>
          <w:sz w:val="18"/>
          <w:szCs w:val="18"/>
        </w:rPr>
        <w:t xml:space="preserve">bulletin d'intervention transmis à l'Office ; délai de prise en charge commande : 24h ouvrées (urgence guêpes en intérieur : 4h) ; suivi hebdomadaire du taux d'accès, plan de rattrapage déclenché si &lt; 75 %.</w:t>
      </w:r>
    </w:p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0"/>
            <w:tcBorders>
              <w:bottom w:val="single" w:color="29ACE2" w:sz="12" w:space="4"/>
            </w:tcBorders>
            <w:vAlign w:val="center"/>
          </w:tcPr>
          <w:p>
            <w:pPr>
              <w:spacing w:after="100" w:before="100"/>
            </w:pPr>
            <w:r>
              <w:rPr>
                <w:b/>
                <w:bCs/>
                <w:color w:val="1E1E1E"/>
                <w:sz w:val="30"/>
                <w:szCs w:val="30"/>
              </w:rPr>
              <w:t xml:space="preserve">3. PUNAISES DE LIT — intégré au Lot 2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9"/>
          <w:szCs w:val="19"/>
        </w:rPr>
        <w:t xml:space="preserve">Traitement spécifique, intégré au périmètre du Lot 2 (désinsectisation curative généralisée).</w:t>
      </w:r>
    </w:p>
    <w:p>
      <w:pPr>
        <w:shd w:fill="FFF8E1" w:val="clear"/>
        <w:spacing w:after="200" w:before="100"/>
      </w:pPr>
      <w:r>
        <w:rPr>
          <w:b/>
          <w:bCs/>
          <w:color w:val="8A6D00"/>
          <w:sz w:val="18"/>
          <w:szCs w:val="18"/>
        </w:rPr>
        <w:t xml:space="preserve">  ⓘ Périmètre du marché AMSOM : </w:t>
      </w:r>
      <w:r>
        <w:rPr>
          <w:color w:val="6B5900"/>
          <w:sz w:val="18"/>
          <w:szCs w:val="18"/>
        </w:rPr>
        <w:t xml:space="preserve">prestation couverte par le Lot 2 — mêmes délais de prise en charge et modalités de communication locataire que la désinsectisation curative.</w:t>
      </w:r>
    </w:p>
    <w:p>
      <w:pPr>
        <w:spacing w:after="150"/>
      </w:pPr>
      <w:r>
        <w:rPr>
          <w:b/>
          <w:bCs/>
          <w:color w:val="1E1E1E"/>
          <w:sz w:val="18"/>
          <w:szCs w:val="18"/>
        </w:rPr>
        <w:t xml:space="preserve">Lien avec l'audit AMDEC : </w:t>
      </w:r>
      <w:r>
        <w:rPr>
          <w:i/>
          <w:iCs/>
          <w:color w:val="555555"/>
          <w:sz w:val="18"/>
          <w:szCs w:val="18"/>
        </w:rPr>
        <w:t xml:space="preserve">criticité Élevée/Critique → intervention dans le délai contractuel AMSOM indiqué ci-dessus ; criticité Faible/Modérée → suivi lors du prochain passage (cf. chapitre 6, « De l'audit AMDEC au plan d'action »).</w:t>
      </w:r>
    </w:p>
    <w:p>
      <w:pPr>
        <w:shd w:fill="FDEDEC" w:val="clear"/>
        <w:spacing w:after="90" w:before="220"/>
      </w:pPr>
      <w:r>
        <w:rPr>
          <w:b/>
          <w:bCs/>
          <w:color w:val="C0392B"/>
          <w:sz w:val="21"/>
          <w:szCs w:val="21"/>
        </w:rPr>
        <w:t xml:space="preserve">  PROTOCOLE D'INTERVENTION (CURATIF)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450"/>
      </w:tblGrid>
      <w:tr>
        <w:trPr>
          <w:tblHeader/>
        </w:trPr>
        <w:tc>
          <w:tcPr>
            <w:tcW w:type="dxa" w:w="25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à mener</w:t>
            </w:r>
          </w:p>
        </w:tc>
        <w:tc>
          <w:tcPr>
            <w:tcW w:type="dxa" w:w="44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 (méthode)</w:t>
            </w:r>
          </w:p>
        </w:tc>
        <w:tc>
          <w:tcPr>
            <w:tcW w:type="dxa" w:w="245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 requis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1. Diagnostic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Contrôle des coutures de literie, plinthes, mobilier ; recherche de traces (déjections, mues, œufs). Avis de passage 48h avant, transmis avec consignes de préparation (tri du linge, dégagement du mobilier).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Gants, lampe d'inspection, combinaison jetable recommandée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2. Traitement combiné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Appareil vapeur sèche surchauffée (traitement thermosensible sans biocide chimique), complété si besoin d'un traitement chimique ciblé sur les zones de refuge (coutures, plinthes, prises électriques). Plusieurs passages généralement nécessaires.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Masque respiratoire adapté, gants, combinaison, lunettes de protection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3. Contrôle J+21 / J+42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Vérification de l'absence de reprise selon les mêmes échéances de contrôle que le Lot 2 (désinsectisation curative généralisée).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Gants, combinaison jetable</w:t>
            </w:r>
          </w:p>
        </w:tc>
      </w:tr>
    </w:tbl>
    <w:p>
      <w:pPr>
        <w:shd w:fill="F7F7F7" w:val="clear"/>
        <w:spacing w:after="100" w:before="220"/>
      </w:pPr>
      <w:r>
        <w:rPr>
          <w:b/>
          <w:bCs/>
          <w:color w:val="1E1E1E"/>
          <w:sz w:val="18"/>
          <w:szCs w:val="18"/>
        </w:rPr>
        <w:t xml:space="preserve">  Compte-rendu : </w:t>
      </w:r>
      <w:r>
        <w:rPr>
          <w:color w:val="444444"/>
          <w:sz w:val="18"/>
          <w:szCs w:val="18"/>
        </w:rPr>
        <w:t xml:space="preserve">mêmes modalités de reporting que le Lot 2 (bulletin d'intervention, délai de prise en charge 24h ouvrées).</w:t>
      </w:r>
    </w:p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0"/>
            <w:tcBorders>
              <w:bottom w:val="single" w:color="29ACE2" w:sz="12" w:space="4"/>
            </w:tcBorders>
            <w:vAlign w:val="center"/>
          </w:tcPr>
          <w:p>
            <w:pPr>
              <w:spacing w:after="100" w:before="100"/>
            </w:pPr>
            <w:r>
              <w:rPr>
                <w:b/>
                <w:bCs/>
                <w:color w:val="1E1E1E"/>
                <w:sz w:val="30"/>
                <w:szCs w:val="30"/>
              </w:rPr>
              <w:t xml:space="preserve">4. DÉSINFECTION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9"/>
          <w:szCs w:val="19"/>
        </w:rPr>
        <w:t xml:space="preserve">Traitement des surfaces et volumes contre les risques biologiques, viraux ou bactériens.</w:t>
      </w:r>
    </w:p>
    <w:p>
      <w:pPr>
        <w:shd w:fill="FFF8E1" w:val="clear"/>
        <w:spacing w:after="200" w:before="100"/>
      </w:pPr>
      <w:r>
        <w:rPr>
          <w:b/>
          <w:bCs/>
          <w:color w:val="8A6D00"/>
          <w:sz w:val="18"/>
          <w:szCs w:val="18"/>
        </w:rPr>
        <w:t xml:space="preserve">  ⓘ Périmètre du marché AMSOM : </w:t>
      </w:r>
      <w:r>
        <w:rPr>
          <w:color w:val="6B5900"/>
          <w:sz w:val="18"/>
          <w:szCs w:val="18"/>
        </w:rPr>
        <w:t xml:space="preserve">prestation hors périmètre des lots AMSOM 2/3/4 attribués à HPS 3D — protocole générique HPS, mobilisable sur demande spécifique de l'Office hors marché.</w:t>
      </w:r>
    </w:p>
    <w:p>
      <w:pPr>
        <w:spacing w:after="150"/>
      </w:pPr>
      <w:r>
        <w:rPr>
          <w:b/>
          <w:bCs/>
          <w:color w:val="1E1E1E"/>
          <w:sz w:val="18"/>
          <w:szCs w:val="18"/>
        </w:rPr>
        <w:t xml:space="preserve">Lien avec l'audit AMDEC : </w:t>
      </w:r>
      <w:r>
        <w:rPr>
          <w:i/>
          <w:iCs/>
          <w:color w:val="555555"/>
          <w:sz w:val="18"/>
          <w:szCs w:val="18"/>
        </w:rPr>
        <w:t xml:space="preserve">criticité Élevée/Critique → intervention dans le délai contractuel AMSOM indiqué ci-dessus ; criticité Faible/Modérée → suivi lors du prochain passage (cf. chapitre 6, « De l'audit AMDEC au plan d'action »).</w:t>
      </w:r>
    </w:p>
    <w:p>
      <w:pPr>
        <w:shd w:fill="FDEDEC" w:val="clear"/>
        <w:spacing w:after="90" w:before="220"/>
      </w:pPr>
      <w:r>
        <w:rPr>
          <w:b/>
          <w:bCs/>
          <w:color w:val="C0392B"/>
          <w:sz w:val="21"/>
          <w:szCs w:val="21"/>
        </w:rPr>
        <w:t xml:space="preserve">  PROTOCOLE D'INTERVENTION (CURATIF)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450"/>
      </w:tblGrid>
      <w:tr>
        <w:trPr>
          <w:tblHeader/>
        </w:trPr>
        <w:tc>
          <w:tcPr>
            <w:tcW w:type="dxa" w:w="25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à mener</w:t>
            </w:r>
          </w:p>
        </w:tc>
        <w:tc>
          <w:tcPr>
            <w:tcW w:type="dxa" w:w="44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 (méthode)</w:t>
            </w:r>
          </w:p>
        </w:tc>
        <w:tc>
          <w:tcPr>
            <w:tcW w:type="dxa" w:w="245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 requis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1. Diagnostic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Évaluation du besoin ponctuel : identification du risque à traiter et des surfaces concernées.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Gants, masque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2. Traitement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Désinfection ciblée : pulvérisation d'un désinfectant à large spectre sur les surfaces, ou diffusion par voie aérienne pour une désinfection globale des volumes.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Masque à cartouche filtrante adapté, combinaison étanche, gants imperméables, lunettes de protection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3. Contrôle post-traitement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Vérification et délivrance d'attestation : respect du temps de contact requis, aération, contrôle visuel final.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Gants</w:t>
            </w:r>
          </w:p>
        </w:tc>
      </w:tr>
    </w:tbl>
    <w:p>
      <w:pPr>
        <w:shd w:fill="F7F7F7" w:val="clear"/>
        <w:spacing w:after="100" w:before="220"/>
      </w:pPr>
      <w:r>
        <w:rPr>
          <w:b/>
          <w:bCs/>
          <w:color w:val="1E1E1E"/>
          <w:sz w:val="18"/>
          <w:szCs w:val="18"/>
        </w:rPr>
        <w:t xml:space="preserve">  Compte-rendu : </w:t>
      </w:r>
      <w:r>
        <w:rPr>
          <w:color w:val="444444"/>
          <w:sz w:val="18"/>
          <w:szCs w:val="18"/>
        </w:rPr>
        <w:t xml:space="preserve">attestation de désinfection et conseils de maintien de l'hygiène dans la durée.</w:t>
      </w:r>
    </w:p>
    <w:p>
      <w:r>
        <w:br w:type="page"/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0"/>
        <w:gridCol w:w="8650"/>
      </w:tblGrid>
      <w:tr>
        <w:tc>
          <w:tcPr>
            <w:tcW w:type="dxa" w:w="700"/>
            <w:vAlign w:val="center"/>
          </w:tcPr>
          <w:p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650"/>
            <w:tcBorders>
              <w:bottom w:val="single" w:color="29ACE2" w:sz="12" w:space="4"/>
            </w:tcBorders>
            <w:vAlign w:val="center"/>
          </w:tcPr>
          <w:p>
            <w:pPr>
              <w:spacing w:after="100" w:before="100"/>
            </w:pPr>
            <w:r>
              <w:rPr>
                <w:b/>
                <w:bCs/>
                <w:color w:val="1E1E1E"/>
                <w:sz w:val="30"/>
                <w:szCs w:val="30"/>
              </w:rPr>
              <w:t xml:space="preserve">5. DÉPIGEONNAGE — Lot 4</w:t>
            </w:r>
          </w:p>
        </w:tc>
      </w:tr>
    </w:tbl>
    <w:p>
      <w:pPr>
        <w:spacing w:after="150" w:before="150"/>
      </w:pPr>
      <w:r>
        <w:rPr>
          <w:i/>
          <w:iCs/>
          <w:color w:val="555555"/>
          <w:sz w:val="19"/>
          <w:szCs w:val="19"/>
        </w:rPr>
        <w:t xml:space="preserve">Gestion des populations de pigeons — Marché AMSOM Habitat, Lot 4 (démarrage 8 décembre 2026, 7 mois puis 3 reconductions annuelles).</w:t>
      </w:r>
    </w:p>
    <w:p>
      <w:pPr>
        <w:shd w:fill="FFF8E1" w:val="clear"/>
        <w:spacing w:after="200" w:before="100"/>
      </w:pPr>
      <w:r>
        <w:rPr>
          <w:b/>
          <w:bCs/>
          <w:color w:val="8A6D00"/>
          <w:sz w:val="18"/>
          <w:szCs w:val="18"/>
        </w:rPr>
        <w:t xml:space="preserve">  ⓘ Périmètre du marché AMSOM : </w:t>
      </w:r>
      <w:r>
        <w:rPr>
          <w:color w:val="6B5900"/>
          <w:sz w:val="18"/>
          <w:szCs w:val="18"/>
        </w:rPr>
        <w:t xml:space="preserve">capture soumise à autorisation préfectorale de destruction (Columba livia domestica) — vérification de l'arrêté en vigueur dans la Somme avant toute intervention de prélèvement.</w:t>
      </w:r>
    </w:p>
    <w:p>
      <w:pPr>
        <w:spacing w:after="150"/>
      </w:pPr>
      <w:r>
        <w:rPr>
          <w:b/>
          <w:bCs/>
          <w:color w:val="1E1E1E"/>
          <w:sz w:val="18"/>
          <w:szCs w:val="18"/>
        </w:rPr>
        <w:t xml:space="preserve">Lien avec l'audit AMDEC : </w:t>
      </w:r>
      <w:r>
        <w:rPr>
          <w:i/>
          <w:iCs/>
          <w:color w:val="555555"/>
          <w:sz w:val="18"/>
          <w:szCs w:val="18"/>
        </w:rPr>
        <w:t xml:space="preserve">criticité Élevée/Critique → intervention dans le délai contractuel AMSOM indiqué ci-dessus ; criticité Faible/Modérée → suivi lors du prochain passage (cf. chapitre 6, « De l'audit AMDEC au plan d'action »).</w:t>
      </w:r>
    </w:p>
    <w:p>
      <w:pPr>
        <w:shd w:fill="FDEDEC" w:val="clear"/>
        <w:spacing w:after="90" w:before="220"/>
      </w:pPr>
      <w:r>
        <w:rPr>
          <w:b/>
          <w:bCs/>
          <w:color w:val="C0392B"/>
          <w:sz w:val="21"/>
          <w:szCs w:val="21"/>
        </w:rPr>
        <w:t xml:space="preserve">  PROTOCOLE D'INTERVENTION (CURATIF)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0"/>
        <w:gridCol w:w="4400"/>
        <w:gridCol w:w="2450"/>
      </w:tblGrid>
      <w:tr>
        <w:trPr>
          <w:tblHeader/>
        </w:trPr>
        <w:tc>
          <w:tcPr>
            <w:tcW w:type="dxa" w:w="25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 à mener</w:t>
            </w:r>
          </w:p>
        </w:tc>
        <w:tc>
          <w:tcPr>
            <w:tcW w:type="dxa" w:w="440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Comment (méthode)</w:t>
            </w:r>
          </w:p>
        </w:tc>
        <w:tc>
          <w:tcPr>
            <w:tcW w:type="dxa" w:w="2450"/>
            <w:shd w:fill="C0392B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EPI requis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1. Diagnostic préalable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Inspection de la toiture-terrasse, des combles et des abords. Identification des zones de nidification/perchage, évaluation de la population (légère/moyenne/forte). Cartographie transmise à l'Office sous 48h.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Équipement de travail en hauteur (harnais, longes, lignes de vie) si accès nécessaire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2. Sécurisation et prélèvement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Signalisation chantier, sécurisation des accès toiture. Capture par cages double entrée appâtées — prélèvement sur toiture (PIGEON001). Relevé sous 24h maximum. Information du gardien 48h avant.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Harnais antichute, longes à absorption d'énergie, lignes de vie, casque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3. Nettoyage et décontamination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Nettoyage des zones souillées par les fientes, décontamination (risque Chlamydia, histoplasmose). Évacuation des déchets biologiques via filière agréée (BSDD).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Combinaison jetable type 5/6, masque FFP3, sur-lunettes, gants nitrile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4. Pose des moyens répulsifs</w:t>
            </w:r>
          </w:p>
        </w:tc>
        <w:tc>
          <w:tcPr>
            <w:tcW w:type="dxa" w:w="440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Installation selon le diagnostic : coupelles, fils tendus, pics, filets ou électro-répulseurs, sans nuire aux oiseaux. Rapport d'installation transmis à l'Office avec cartographie.</w:t>
            </w:r>
          </w:p>
        </w:tc>
        <w:tc>
          <w:tcPr>
            <w:tcW w:type="dxa" w:w="2450"/>
            <w:shd w:fill="F7F7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Équipement de travail en hauteur, gants, casque</w:t>
            </w:r>
          </w:p>
        </w:tc>
      </w:tr>
      <w:tr>
        <w:tc>
          <w:tcPr>
            <w:tcW w:type="dxa" w:w="2500"/>
            <w:shd w:fill="DCEEF7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1E1E1E"/>
                <w:sz w:val="18"/>
                <w:szCs w:val="18"/>
              </w:rPr>
              <w:t xml:space="preserve">5. Contrôle périodique</w:t>
            </w:r>
          </w:p>
        </w:tc>
        <w:tc>
          <w:tcPr>
            <w:tcW w:type="dxa" w:w="44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Visite de contrôle des équipements installés à 6 mois, 1 an et à chaque renouvellement. Rapport photographique transmis à l'Office.</w:t>
            </w:r>
          </w:p>
        </w:tc>
        <w:tc>
          <w:tcPr>
            <w:tcW w:type="dxa" w:w="24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Équipement de travail en hauteur si nécessaire</w:t>
            </w:r>
          </w:p>
        </w:tc>
      </w:tr>
    </w:tbl>
    <w:p>
      <w:pPr>
        <w:shd w:fill="F7F7F7" w:val="clear"/>
        <w:spacing w:after="100" w:before="220"/>
      </w:pPr>
      <w:r>
        <w:rPr>
          <w:b/>
          <w:bCs/>
          <w:color w:val="1E1E1E"/>
          <w:sz w:val="18"/>
          <w:szCs w:val="18"/>
        </w:rPr>
        <w:t xml:space="preserve">  Compte-rendu : </w:t>
      </w:r>
      <w:r>
        <w:rPr>
          <w:color w:val="444444"/>
          <w:sz w:val="18"/>
          <w:szCs w:val="18"/>
        </w:rPr>
        <w:t xml:space="preserve">bulletin d'intervention transmis à l'Office et au gardien sous 48h ; délai de prise en charge commande : 48h ouvrées (urgence pigeons en logement occupé : 24h) ; synthèse mensuelle AMSOM sous 5 jours ouvrés.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/ </w:t>
    </w:r>
    <w:r>
      <w:rPr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drawing>
        <wp:inline distT="0" distB="0" distL="0" distR="0">
          <wp:extent cx="1238250" cy="2857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95869d0498f0faa2819bcf2483c9581de3f44c5.png"/><Relationship Id="rId10" Type="http://schemas.openxmlformats.org/officeDocument/2006/relationships/image" Target="media/ba2e33187a438c9892e323dc1eca5cc1443e93ac.png"/><Relationship Id="rId11" Type="http://schemas.openxmlformats.org/officeDocument/2006/relationships/image" Target="media/1448560c0c5ee88ebd8283c077242c80e3299a72.png"/><Relationship Id="rId12" Type="http://schemas.openxmlformats.org/officeDocument/2006/relationships/image" Target="media/2861562ae62de6cd66bde519ec66aa0c4367a10d.png"/><Relationship Id="rId13" Type="http://schemas.openxmlformats.org/officeDocument/2006/relationships/image" Target="media/e08c00c41b305fa340f9fd1f5de922f64300f4b7.png"/><Relationship Id="rId14" Type="http://schemas.openxmlformats.org/officeDocument/2006/relationships/image" Target="media/6b54d3ef031296f07aed622497aa49030eacfe5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95869d0498f0faa2819bcf2483c9581de3f44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2026-08-11T08:36:49.861Z</dcterms:created>
  <dcterms:modified xsi:type="dcterms:W3CDTF">2026-08-11T08:36:49.861Z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