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1758315</wp:posOffset>
            </wp:positionH>
            <wp:positionV relativeFrom="paragraph">
              <wp:posOffset>114300</wp:posOffset>
            </wp:positionV>
            <wp:extent cx="2096453" cy="2071691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453" cy="2071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Barajas Diego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Cruz Brandonn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González Juan Sebastián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Miranda Nicolás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Orozco Juan David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Healthy Routine: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Reporte Gerencial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5850" cy="142939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29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  <w:r w:rsidDel="00000000" w:rsidR="00000000" w:rsidRPr="00000000">
        <w:rPr>
          <w:sz w:val="24"/>
          <w:szCs w:val="24"/>
          <w:rtl w:val="0"/>
        </w:rPr>
        <w:t xml:space="preserve">: Anabel Montero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Modelo del proceso de administración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Proceso de control de cambios</w:t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Controlar la calidad de la documentación</w:t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color w:val="2f5496"/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2f5496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Controlar la calidad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