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5" w:lineRule="auto"/>
      </w:pPr>
      <w:r>
        <w:rPr>
          <w:rFonts w:ascii="Calibri" w:hAnsi="Calibri" w:eastAsia="Calibri"/>
          <w:b/>
          <w:i w:val="0"/>
          <w:color w:val="1B3A2F"/>
          <w:sz w:val="36"/>
        </w:rPr>
        <w:t>Domain writing as income</w:t>
      </w:r>
    </w:p>
    <w:p>
      <w:pPr>
        <w:spacing w:before="20" w:after="80" w:line="245" w:lineRule="auto"/>
      </w:pPr>
      <w:r>
        <w:rPr>
          <w:rFonts w:ascii="Calibri" w:hAnsi="Calibri" w:eastAsia="Calibri"/>
          <w:b w:val="0"/>
          <w:i w:val="0"/>
          <w:color w:val="3D4A45"/>
          <w:sz w:val="18"/>
        </w:rPr>
        <w:t>A one-year test before the psychotherapy master’s  ·  Nicolas Picard  ·  Berlin  ·  October 2026 – September 2027</w:t>
      </w:r>
    </w:p>
    <w:p>
      <w:pPr>
        <w:spacing w:before="160" w:after="40" w:line="245" w:lineRule="auto"/>
        <w:keepNext/>
        <w:pBdr>
          <w:bottom w:val="single" w:sz="6" w:space="1" w:color="1B3A2F"/>
        </w:pBdr>
      </w:pPr>
      <w:r>
        <w:rPr>
          <w:rFonts w:ascii="Calibri" w:hAnsi="Calibri" w:eastAsia="Calibri"/>
          <w:b/>
          <w:i w:val="0"/>
          <w:color w:val="1B3A2F"/>
          <w:sz w:val="24"/>
        </w:rPr>
        <w:t>1.  The number you are actually chasing</w:t>
      </w:r>
    </w:p>
    <w:p>
      <w:pPr>
        <w:spacing w:before="0" w:after="60" w:line="245" w:lineRule="auto"/>
        <w:jc w:val="both"/>
      </w:pPr>
      <w:r>
        <w:rPr>
          <w:rFonts w:ascii="Calibri" w:hAnsi="Calibri" w:eastAsia="Calibri"/>
          <w:b/>
          <w:i w:val="0"/>
          <w:color w:val="1A1A1A"/>
          <w:sz w:val="20"/>
        </w:rPr>
        <w:t>€2,500 net is about €5,200 invoiced per month</w:t>
      </w:r>
      <w:r>
        <w:rPr>
          <w:rFonts w:ascii="Calibri" w:hAnsi="Calibri" w:eastAsia="Calibri"/>
          <w:b w:val="0"/>
          <w:i w:val="0"/>
          <w:color w:val="1A1A1A"/>
          <w:sz w:val="20"/>
        </w:rPr>
        <w:t xml:space="preserve"> (€62,000 a year). For a single filer in Berlin with no church tax and ordinary expenses, that is the level at which income tax plus health and care insurance leave roughly €2,500 in pocket. The Künstlersozialkasse, if it accepts you as a writer, charges about half the insurance rate and also builds a pension, so take-home stays similar and the coverage is better. A Steuerberater confirms this in week one, including whether 2025 fractional invoices already pushed you over the Kleinunternehmer line (prior-year turnover under €25,000, and this year under €100,000). Above that line, invoices carry VAT.</w:t>
      </w:r>
    </w:p>
    <w:p>
      <w:pPr>
        <w:spacing w:before="0" w:after="40" w:line="245" w:lineRule="auto"/>
        <w:jc w:val="both"/>
      </w:pPr>
      <w:r>
        <w:rPr>
          <w:rFonts w:ascii="Calibri" w:hAnsi="Calibri" w:eastAsia="Calibri"/>
          <w:b/>
          <w:i w:val="0"/>
          <w:color w:val="1A1A1A"/>
          <w:sz w:val="20"/>
        </w:rPr>
        <w:t xml:space="preserve">How a €5,200 month is built: </w:t>
      </w:r>
      <w:r>
        <w:rPr>
          <w:rFonts w:ascii="Calibri" w:hAnsi="Calibri" w:eastAsia="Calibri"/>
          <w:b w:val="0"/>
          <w:i w:val="0"/>
          <w:color w:val="1A1A1A"/>
          <w:sz w:val="20"/>
        </w:rPr>
        <w:t>one retainer plus one blueprint, or two retainers. Ten to twelve writing days a month is the cap; the other days are for outreach, revisions, and the rest of your life. Months one and two will miss €2,500 net. Dialectica calls, a paid AstroFinance package, and cash you already have cover that gap. Judge the year on the run-rate you hold from month six, and pull this calendar forward if the master’s starts before October 2027.</w:t>
      </w:r>
    </w:p>
    <w:p>
      <w:pPr>
        <w:spacing w:before="160" w:after="40" w:line="245" w:lineRule="auto"/>
        <w:keepNext/>
        <w:pBdr>
          <w:bottom w:val="single" w:sz="6" w:space="1" w:color="1B3A2F"/>
        </w:pBdr>
      </w:pPr>
      <w:r>
        <w:rPr>
          <w:rFonts w:ascii="Calibri" w:hAnsi="Calibri" w:eastAsia="Calibri"/>
          <w:b/>
          <w:i w:val="0"/>
          <w:color w:val="1B3A2F"/>
          <w:sz w:val="24"/>
        </w:rPr>
        <w:t>2.  One offer, from seven CVs</w:t>
      </w:r>
    </w:p>
    <w:p>
      <w:pPr>
        <w:spacing w:before="0" w:after="60" w:line="245" w:lineRule="auto"/>
        <w:jc w:val="both"/>
      </w:pPr>
      <w:r>
        <w:rPr>
          <w:rFonts w:ascii="Calibri" w:hAnsi="Calibri" w:eastAsia="Calibri"/>
          <w:b/>
          <w:i w:val="0"/>
          <w:color w:val="1A1A1A"/>
          <w:sz w:val="20"/>
        </w:rPr>
        <w:t xml:space="preserve">The overlap is specific. </w:t>
      </w:r>
      <w:r>
        <w:rPr>
          <w:rFonts w:ascii="Calibri" w:hAnsi="Calibri" w:eastAsia="Calibri"/>
          <w:b w:val="0"/>
          <w:i w:val="0"/>
          <w:color w:val="1A1A1A"/>
          <w:sz w:val="20"/>
        </w:rPr>
        <w:t>You turn complex B2B products in climate, supply chain, and real-asset finance into documents a buyer, an investor, or an implementation team can use. That is already how you have been paid: Opower recognized you as the team’s best writer on large SaaS scopes; The Asia Foundation proposals; OpenSC playbooks and the Nespresso ESG business case; the IntegrityNext carbon-accounting flow, including upstream data gaps; the AstroFinance litepaper (product, strategy, three offerings, and the financial models), plus the exit memo and deal blueprints; a FIBE talk; the Carbon Accounting Alliance roundtable you are about to moderate; and Dialectica, which already pays for your judgment on supply-chain risk platforms.</w:t>
      </w:r>
    </w:p>
    <w:p>
      <w:pPr>
        <w:spacing w:before="0" w:after="40" w:line="245" w:lineRule="auto"/>
        <w:jc w:val="both"/>
      </w:pPr>
      <w:r>
        <w:rPr>
          <w:rFonts w:ascii="Calibri" w:hAnsi="Calibri" w:eastAsia="Calibri"/>
          <w:b/>
          <w:i w:val="0"/>
          <w:color w:val="1A1A1A"/>
          <w:sz w:val="20"/>
        </w:rPr>
        <w:t xml:space="preserve">Public sentence, on LinkedIn and on the offer sheet: </w:t>
      </w:r>
      <w:r>
        <w:rPr>
          <w:rFonts w:ascii="Calibri" w:hAnsi="Calibri" w:eastAsia="Calibri"/>
          <w:b w:val="0"/>
          <w:i w:val="0"/>
          <w:color w:val="1A1A1A"/>
          <w:sz w:val="20"/>
        </w:rPr>
        <w:t>“I write the explainers, solution briefs, and litepapers that climate, supply-chain, and real-asset teams use to sell and implement complex products.” The seven CV variants stay in the job-search folder. Clients hire the sentence, and they will check it on nicolaspicard.carrd.co.</w:t>
      </w:r>
    </w:p>
    <w:p>
      <w:pPr>
        <w:spacing w:before="160" w:after="40" w:line="245" w:lineRule="auto"/>
        <w:keepNext/>
        <w:pBdr>
          <w:bottom w:val="single" w:sz="6" w:space="1" w:color="1B3A2F"/>
        </w:pBdr>
      </w:pPr>
      <w:r>
        <w:rPr>
          <w:rFonts w:ascii="Calibri" w:hAnsi="Calibri" w:eastAsia="Calibri"/>
          <w:b/>
          <w:i w:val="0"/>
          <w:color w:val="1B3A2F"/>
          <w:sz w:val="24"/>
        </w:rPr>
        <w:t>3.  Three lanes, in the order to work them</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1. Supply-chain climate compliance and carbon accounting. </w:t>
      </w:r>
      <w:r>
        <w:rPr>
          <w:rFonts w:ascii="Calibri" w:hAnsi="Calibri" w:eastAsia="Calibri"/>
          <w:b w:val="0"/>
          <w:i w:val="0"/>
          <w:color w:val="1A1A1A"/>
          <w:sz w:val="20"/>
        </w:rPr>
        <w:t>Highest potential, and the lane the roundtable opens. You have shipped the unglamorous part: traceability with Nespresso in DR Congo, a carbon feature for users across eight regions, CBAM-related upstream gaps, multi-tier supplier action, and current expert calls on which ESG platform fits which use case. Buyers are climate and supply-chain software firms (Berlin is full of them: Plan A, Cozero, Climatiq, Vaayu, carbmee, and their EU peers) and the sustainability leads who must explain this to procurement. Write as the person who sat with operators and specified the product. Emissions factors, audit opinions, and legal conclusions stay with the client’s specialists. Your name on a piece means the workflow is right.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2. Real-asset finance narratives. </w:t>
      </w:r>
      <w:r>
        <w:rPr>
          <w:rFonts w:ascii="Calibri" w:hAnsi="Calibri" w:eastAsia="Calibri"/>
          <w:b w:val="0"/>
          <w:i w:val="0"/>
          <w:color w:val="1A1A1A"/>
          <w:sz w:val="20"/>
        </w:rPr>
        <w:t>Fastest cash, thinner market. AstroFinance can commission you now, and Tesseract Academy (Stylianos and Linas Stankevicius) has already seen your standard on the litepaper. Stay on how a real asset is structured, explained, and implemented: aerospace, infrastructure, climate-related assets. The client’s counsel reviews anything that touches token structure. A one-line footer states that the piece is a product explanation, and that investment and securities advice sit with regulated advisors.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3. B2B solution and implementation writing, English and French. </w:t>
      </w:r>
      <w:r>
        <w:rPr>
          <w:rFonts w:ascii="Calibri" w:hAnsi="Calibri" w:eastAsia="Calibri"/>
          <w:b w:val="0"/>
          <w:i w:val="0"/>
          <w:color w:val="1A1A1A"/>
          <w:sz w:val="20"/>
        </w:rPr>
        <w:t>The craft under the other two, and the one content teams cannot fake. Oracle scoping, RFP responses, onboarding playbooks, QBRs, a RACI rollout. Sell it as the document an account executive sends, or the playbook an implementation lead runs. French is a premium when an EU vendor asks; it is priced as its own delivery, at about 25% above the English fee. German is for coffees in Berlin.</w:t>
      </w:r>
    </w:p>
    <w:p>
      <w:pPr>
        <w:spacing w:before="20" w:after="40" w:line="245" w:lineRule="auto"/>
        <w:jc w:val="both"/>
      </w:pPr>
      <w:r>
        <w:rPr>
          <w:rFonts w:ascii="Calibri" w:hAnsi="Calibri" w:eastAsia="Calibri"/>
          <w:b w:val="0"/>
          <w:i w:val="0"/>
          <w:color w:val="1A1A1A"/>
          <w:sz w:val="20"/>
        </w:rPr>
        <w:t>AI belongs inside lane 1 as the roundtable subject, and as the tool you draft with. A general “AI writer” shop is a crowded, lower-paid market. Leave it closed.</w:t>
      </w:r>
    </w:p>
    <w:p>
      <w:pPr>
        <w:spacing w:before="160" w:after="40" w:line="245" w:lineRule="auto"/>
        <w:keepNext/>
        <w:pBdr>
          <w:bottom w:val="single" w:sz="6" w:space="1" w:color="1B3A2F"/>
        </w:pBdr>
      </w:pPr>
      <w:r>
        <w:rPr>
          <w:rFonts w:ascii="Calibri" w:hAnsi="Calibri" w:eastAsia="Calibri"/>
          <w:b/>
          <w:i w:val="0"/>
          <w:color w:val="1B3A2F"/>
          <w:sz w:val="24"/>
        </w:rPr>
        <w:t>4.  Three formats, and what to charge in year one</w:t>
      </w:r>
    </w:p>
    <w:p>
      <w:pPr>
        <w:spacing w:before="0" w:after="60" w:line="245" w:lineRule="auto"/>
        <w:jc w:val="both"/>
      </w:pPr>
      <w:r>
        <w:rPr>
          <w:rFonts w:ascii="Calibri" w:hAnsi="Calibri" w:eastAsia="Calibri"/>
          <w:b w:val="0"/>
          <w:i w:val="0"/>
          <w:color w:val="1A1A1A"/>
          <w:sz w:val="20"/>
        </w:rPr>
        <w:t>Published specialists already charge about €85 an hour and about €3,000 for a researched 1,500-word sustainability essay; clean-energy white papers often start near $6,000. Your year-one prices sit under those, so the first yes is reachable, and well above mill rates, which cannot fund €5,200 months.</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474"/>
        <w:gridCol w:w="4876"/>
        <w:gridCol w:w="1984"/>
        <w:gridCol w:w="1474"/>
      </w:tblGrid>
      <w:tr>
        <w:trPr>
          <w:cantSplit/>
        </w:trPr>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Format</w:t>
            </w:r>
          </w:p>
        </w:tc>
        <w:tc>
          <w:tcPr>
            <w:tcW w:type="dxa" w:w="4876"/>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What the client gets</w:t>
            </w:r>
          </w:p>
        </w:tc>
        <w:tc>
          <w:tcPr>
            <w:tcW w:type="dxa" w:w="198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Year-1 fee</w:t>
            </w:r>
          </w:p>
        </w:tc>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Your time</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Expert brief</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1,200–1,800 words: a regulatory explainer, a rollout story, or one SEO piece with a single search intent. Two revision rounds.</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€900–1,400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1–1.5 days</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Blueprint</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6–12 pages: solution brief, implementation or deal blueprint, or the product and strategy half of a litepaper. Client supplies experts, data, and legal review.</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€2,500–4,500</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4–7 days</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Retainer</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Three-month minimum. Monthly interview, then one blueprint or two briefs, plus four LinkedIn posts from the same material.</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€2,400–3,000 / month</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About 4 days</w:t>
            </w:r>
          </w:p>
        </w:tc>
      </w:tr>
    </w:tbl>
    <w:p>
      <w:pPr>
        <w:spacing w:before="0" w:after="40" w:line="245" w:lineRule="auto"/>
      </w:pPr>
    </w:p>
    <w:p>
      <w:pPr>
        <w:spacing w:before="40" w:after="40" w:line="245" w:lineRule="auto"/>
        <w:jc w:val="both"/>
      </w:pPr>
      <w:r>
        <w:rPr>
          <w:rFonts w:ascii="Calibri" w:hAnsi="Calibri" w:eastAsia="Calibri"/>
          <w:b/>
          <w:i w:val="0"/>
          <w:color w:val="1A1A1A"/>
          <w:sz w:val="20"/>
        </w:rPr>
        <w:t xml:space="preserve">The month, in combinations. </w:t>
      </w:r>
      <w:r>
        <w:rPr>
          <w:rFonts w:ascii="Calibri" w:hAnsi="Calibri" w:eastAsia="Calibri"/>
          <w:b w:val="0"/>
          <w:i w:val="0"/>
          <w:color w:val="1A1A1A"/>
          <w:sz w:val="20"/>
        </w:rPr>
        <w:t>Retainer at €2,600 plus one blueprint at €2,800. Or two retainers. Or, while the retainer is still forming: AstroFinance’s package plus two outside briefs plus one expert-network month. Sell a retainer after one paid project with that client. AstroFinance is the exception, because the relationship is already there.</w:t>
      </w:r>
    </w:p>
    <w:p>
      <w:pPr>
        <w:spacing w:before="0" w:after="40" w:line="245" w:lineRule="auto"/>
        <w:jc w:val="both"/>
      </w:pPr>
      <w:r>
        <w:rPr>
          <w:rFonts w:ascii="Calibri" w:hAnsi="Calibri" w:eastAsia="Calibri"/>
          <w:b/>
          <w:i w:val="0"/>
          <w:color w:val="1A1A1A"/>
          <w:sz w:val="20"/>
        </w:rPr>
        <w:t xml:space="preserve">AstroFinance, priced on purpose. </w:t>
      </w:r>
      <w:r>
        <w:rPr>
          <w:rFonts w:ascii="Calibri" w:hAnsi="Calibri" w:eastAsia="Calibri"/>
          <w:b w:val="0"/>
          <w:i w:val="0"/>
          <w:color w:val="1A1A1A"/>
          <w:sz w:val="20"/>
        </w:rPr>
        <w:t>Propose three explainers for €2,100 total (€700 each), half up front, topics you choose: how the asset hub works, what an aerospace asset needs before it can be offered, and the security-token versus utility-token brief you have already had to write for a live prospect. Friendly, and still a real invoice. The public rate card keeps the same brief at €900–1,400, so the favor stays a favor.</w:t>
      </w:r>
    </w:p>
    <w:p>
      <w:pPr>
        <w:spacing w:before="0" w:after="40" w:line="245" w:lineRule="auto"/>
        <w:jc w:val="both"/>
      </w:pPr>
      <w:r>
        <w:rPr>
          <w:rFonts w:ascii="Calibri" w:hAnsi="Calibri" w:eastAsia="Calibri"/>
          <w:b w:val="0"/>
          <w:i w:val="0"/>
          <w:color w:val="1A1A1A"/>
          <w:sz w:val="20"/>
        </w:rPr>
        <w:t>Leave on the shelf for this year: blog posts under €800, social-only ghostwriting under €1,500 a month, and full sustainability reports (a real market at €7,000 and up, and only sane once a client arrives with the data). Two trade-press bylines in the year, pitched from the roundtable essay, are marketing. They are part of the pipeline, and they are not the business.</w:t>
      </w:r>
    </w:p>
    <w:p>
      <w:pPr>
        <w:spacing w:before="160" w:after="40" w:line="245" w:lineRule="auto"/>
        <w:keepNext/>
        <w:pBdr>
          <w:bottom w:val="single" w:sz="6" w:space="1" w:color="1B3A2F"/>
        </w:pBdr>
      </w:pPr>
      <w:r>
        <w:rPr>
          <w:rFonts w:ascii="Calibri" w:hAnsi="Calibri" w:eastAsia="Calibri"/>
          <w:b/>
          <w:i w:val="0"/>
          <w:color w:val="1B3A2F"/>
          <w:sz w:val="24"/>
        </w:rPr>
        <w:t>5.  The year, step by step</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530"/>
        <w:gridCol w:w="6520"/>
        <w:gridCol w:w="1757"/>
      </w:tblGrid>
      <w:tr>
        <w:trPr>
          <w:cantSplit/>
        </w:trPr>
        <w:tc>
          <w:tcPr>
            <w:tcW w:type="dxa" w:w="153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When</w:t>
            </w:r>
          </w:p>
        </w:tc>
        <w:tc>
          <w:tcPr>
            <w:tcW w:type="dxa" w:w="652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Do this</w:t>
            </w:r>
          </w:p>
        </w:tc>
        <w:tc>
          <w:tcPr>
            <w:tcW w:type="dxa" w:w="1757"/>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Finished when</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Week 1</w:t>
              <w:br/>
              <w:t>by 11 Oct</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Steuerberater: Freiberufler, KSK application, Kleinunternehmer, invoice line. Rewrite LinkedIn and the Carrd to the same sentence (section 6). One-page offer. One-page contract: scope, two revisions, 50% to start, kill fee, confidentiality, right to show a redacted sample.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Carrd, LinkedIn, an offer, and an invoice all match.</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2–4</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Three samples, live as links. (1) A 1,400-word essay drafted before you moderate: what AI can and cannot do inside carbon-accounting software, from the product side. (2) A public solution brief on where supplier-carbon or traceability rollouts break, using your method and public facts only. (3) A redacted AstroFinance product-and-strategy excerpt, after written permission. If permission lags, a clearly labeled sample blueprint stands in.</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Featured section on LinkedIn holds all three.</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Roundtable week</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Moderate. Within 72 hours publish a short point-of-view recap, with quotes from others only where you have a yes. Send it to each speaker and to 15 climate founders, with one line on what you write and the fee range.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essay is public and 15 people have it.</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3–8</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Two warm asks first. Tesseract: you wrote AstroFinance’s product and strategy sections, you are taking a few litepaper commissions, where do their clients get stuck, and do they subcontract. AstroFinance: the €2,100 package with topics and price in the same note. Then a list of 40: 15 climate SaaS content leads, 10 compliance vendors, 8 real-asset studios, 7 implementation firms. Eight personal notes a week. Each note names a page on their site and proposes one title.</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AstroFinance has said yes or no. Two intro calls are booked.</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 3</w:t>
              <w:br/>
              <w:t>early Jan 2027</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Checkpoint. One paid delivery, or a signed AstroFinance package. If neither has happened, change the sample or the price. Another lane will not fix an offer that is not landing.</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 written yes, or a revised offer.</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Months 4–6</w:t>
              <w:br/>
              <w:t>Jan–Mar</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Convert the first happy client into a three-month retainer. The paid piece, with permission, becomes sample four. Lift the brief floor to €1,100 once two paid clips exist. Invoice about €2,000, then €3,500, then €5,200. Decline work under €800.</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 €5,200 invoiced month.</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Months 7–12</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Hold two anchors. One public piece a quarter, always in a lane. In month 9, write the degree-time offer on a single page: one retainer, about four days a month, €2,200–2,500, calendar told to the client in advance. Therapy marketing is a separate name and a separate site. This practice stays on climate, supply chain, and real assets, and it is the one you reopen after the degree.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lighter offer is signed, or ready to sign, before classes start.</w:t>
            </w:r>
          </w:p>
        </w:tc>
      </w:tr>
    </w:tbl>
    <w:p>
      <w:pPr>
        <w:spacing w:before="160" w:after="40" w:line="245" w:lineRule="auto"/>
        <w:keepNext/>
        <w:pBdr>
          <w:bottom w:val="single" w:sz="6" w:space="1" w:color="1B3A2F"/>
        </w:pBdr>
      </w:pPr>
      <w:r>
        <w:rPr>
          <w:rFonts w:ascii="Calibri" w:hAnsi="Calibri" w:eastAsia="Calibri"/>
          <w:b/>
          <w:i w:val="0"/>
          <w:color w:val="1B3A2F"/>
          <w:sz w:val="24"/>
        </w:rPr>
        <w:t>6.  The Carrd, before the first email</w:t>
      </w:r>
    </w:p>
    <w:p>
      <w:pPr>
        <w:spacing w:before="0" w:after="40" w:line="245" w:lineRule="auto"/>
        <w:jc w:val="both"/>
      </w:pPr>
      <w:r>
        <w:rPr>
          <w:rFonts w:ascii="Calibri" w:hAnsi="Calibri" w:eastAsia="Calibri"/>
          <w:b/>
          <w:i w:val="0"/>
          <w:color w:val="1A1A1A"/>
          <w:sz w:val="20"/>
        </w:rPr>
        <w:t xml:space="preserve">nicolaspicard.carrd.co is the right container. </w:t>
      </w:r>
      <w:r>
        <w:rPr>
          <w:rFonts w:ascii="Calibri" w:hAnsi="Calibri" w:eastAsia="Calibri"/>
          <w:b w:val="0"/>
          <w:i w:val="0"/>
          <w:color w:val="1A1A1A"/>
          <w:sz w:val="20"/>
        </w:rPr>
        <w:t>It is one page, it already has a Calendly (calendly.com/nicolas-m-picard/30min), and it already says you work part-time, on flexible hours, from Berlin. Keep that line. The page is aimed at a different buyer. The headline is “Product Manager &amp; Startup Builder | Climate &amp; Web3,” and the menu is product-market fit, MVPs, startup operations, and applied AI. The About still pairs community work at an LGBT+ social enterprise with a current fractional Head of Product seat. This autumn the product role is advisory, and the live proof is Dialectica plus the roundtable. A content lead who clicks through meets a product consultant whose About still describes last year’s roles.</w:t>
      </w:r>
    </w:p>
    <w:p>
      <w:pPr>
        <w:spacing w:before="20" w:after="40" w:line="245" w:lineRule="auto"/>
      </w:pPr>
      <w:r>
        <w:rPr>
          <w:rFonts w:ascii="Calibri" w:hAnsi="Calibri" w:eastAsia="Calibri"/>
          <w:b/>
          <w:i w:val="0"/>
          <w:color w:val="1A1A1A"/>
          <w:sz w:val="20"/>
        </w:rPr>
        <w:t>Rewrite that same URL in week 1. A new site can wait.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First screen. </w:t>
      </w:r>
      <w:r>
        <w:rPr>
          <w:rFonts w:ascii="Calibri" w:hAnsi="Calibri" w:eastAsia="Calibri"/>
          <w:b w:val="0"/>
          <w:i w:val="0"/>
          <w:color w:val="1A1A1A"/>
          <w:sz w:val="20"/>
        </w:rPr>
        <w:t>The one sentence, the three writing products with the fees in section 4, and Schedule a chat. Proof you can link today: the AstroFinance Loom and the asset-hub page already on the site, plus the Nespresso supply-chain note you already cite. FIBE and the roundtable join as soon as you can name them in one line. The litepaper excerpt joins when AstroFinance agrees.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About, five lines. </w:t>
      </w:r>
      <w:r>
        <w:rPr>
          <w:rFonts w:ascii="Calibri" w:hAnsi="Calibri" w:eastAsia="Calibri"/>
          <w:b w:val="0"/>
          <w:i w:val="0"/>
          <w:color w:val="1A1A1A"/>
          <w:sz w:val="20"/>
        </w:rPr>
        <w:t>Climate and supply-chain products, real-asset narratives, French and English as the languages you write in, part-time from Berlin. Set German and Spanish to the level on your CVs, and keep them off the list of delivery languages. If the community role is still active, one clause is enough, and it does not lead.</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An “Also” line, with its own fees. </w:t>
      </w:r>
      <w:r>
        <w:rPr>
          <w:rFonts w:ascii="Calibri" w:hAnsi="Calibri" w:eastAsia="Calibri"/>
          <w:b w:val="0"/>
          <w:i w:val="0"/>
          <w:color w:val="1A1A1A"/>
          <w:sz w:val="20"/>
        </w:rPr>
        <w:t>Product consulting, dashboards, lead scoring, and clickable prototypes stay available, because you have shipped them. They sit below the writing menu. The custom GPT that drafts funding proposals comes off this page: beside a writing offer, it tells the buyer the writing can be a prompt.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Two cleanups. </w:t>
      </w:r>
      <w:r>
        <w:rPr>
          <w:rFonts w:ascii="Calibri" w:hAnsi="Calibri" w:eastAsia="Calibri"/>
          <w:b w:val="0"/>
          <w:i w:val="0"/>
          <w:color w:val="1A1A1A"/>
          <w:sz w:val="20"/>
        </w:rPr>
        <w:t>The therapy-access hackathon comes off this URL. It is a real build, and it belongs later, with the master’s, under its own name. The footer icon labeled Substack currently points at github.com. Point it at the roundtable essay once that essay has a home, or remove the icon until then.</w:t>
      </w:r>
    </w:p>
    <w:p>
      <w:pPr>
        <w:spacing w:before="160" w:after="40" w:line="245" w:lineRule="auto"/>
        <w:keepNext/>
        <w:pBdr>
          <w:bottom w:val="single" w:sz="6" w:space="1" w:color="1B3A2F"/>
        </w:pBdr>
      </w:pPr>
      <w:r>
        <w:rPr>
          <w:rFonts w:ascii="Calibri" w:hAnsi="Calibri" w:eastAsia="Calibri"/>
          <w:b/>
          <w:i w:val="0"/>
          <w:color w:val="1B3A2F"/>
          <w:sz w:val="24"/>
        </w:rPr>
        <w:t>7.  What to have in hand before you pitch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Samples on the Carrd. </w:t>
      </w:r>
      <w:r>
        <w:rPr>
          <w:rFonts w:ascii="Calibri" w:hAnsi="Calibri" w:eastAsia="Calibri"/>
          <w:b w:val="0"/>
          <w:i w:val="0"/>
          <w:color w:val="1A1A1A"/>
          <w:sz w:val="20"/>
        </w:rPr>
        <w:t>The roundtable essay, the public solution brief, and the permitted AstroFinance excerpt, each as a link on the page. The Loom and the asset-hub demo stay next to them, so a buyer sees that you have shipped the thing you are explaining.</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offer sheet and the contract. </w:t>
      </w:r>
      <w:r>
        <w:rPr>
          <w:rFonts w:ascii="Calibri" w:hAnsi="Calibri" w:eastAsia="Calibri"/>
          <w:b w:val="0"/>
          <w:i w:val="0"/>
          <w:color w:val="1A1A1A"/>
          <w:sz w:val="20"/>
        </w:rPr>
        <w:t>Three products, the ranges above, two revisions, half to start, and a portfolio clause. A lawyer-drafted novel is unnecessary; a clear one-pager your Steuerberater has seen is enough.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source rule and a claims footer. </w:t>
      </w:r>
      <w:r>
        <w:rPr>
          <w:rFonts w:ascii="Calibri" w:hAnsi="Calibri" w:eastAsia="Calibri"/>
          <w:b w:val="0"/>
          <w:i w:val="0"/>
          <w:color w:val="1A1A1A"/>
          <w:sz w:val="20"/>
        </w:rPr>
        <w:t>Every number comes from a public source or the client’s file. The footer on technical pieces: practitioner explanation; carbon-accounting, legal, and investment advice remain with the client’s specialists.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Written permission. </w:t>
      </w:r>
      <w:r>
        <w:rPr>
          <w:rFonts w:ascii="Calibri" w:hAnsi="Calibri" w:eastAsia="Calibri"/>
          <w:b w:val="0"/>
          <w:i w:val="0"/>
          <w:color w:val="1A1A1A"/>
          <w:sz w:val="20"/>
        </w:rPr>
        <w:t>Nespresso, the coffee trader, IntegrityNext, Walmart, J&amp;J, and AstroFinance details appear only when already public or cleared in writing. Role, method, and results you already state on LinkedIn are the safe set.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swipe file. </w:t>
      </w:r>
      <w:r>
        <w:rPr>
          <w:rFonts w:ascii="Calibri" w:hAnsi="Calibri" w:eastAsia="Calibri"/>
          <w:b w:val="0"/>
          <w:i w:val="0"/>
          <w:color w:val="1A1A1A"/>
          <w:sz w:val="20"/>
        </w:rPr>
        <w:t>Five pieces you wish you had written, one folder per lane. Match their structure. The sentences stay yours.</w:t>
      </w:r>
    </w:p>
    <w:p>
      <w:pPr>
        <w:spacing w:before="160" w:after="40" w:line="245" w:lineRule="auto"/>
        <w:keepNext/>
        <w:pBdr>
          <w:bottom w:val="single" w:sz="6" w:space="1" w:color="1B3A2F"/>
        </w:pBdr>
      </w:pPr>
      <w:r>
        <w:rPr>
          <w:rFonts w:ascii="Calibri" w:hAnsi="Calibri" w:eastAsia="Calibri"/>
          <w:b/>
          <w:i w:val="0"/>
          <w:color w:val="1B3A2F"/>
          <w:sz w:val="24"/>
        </w:rPr>
        <w:t>8.  Where the commissions come from</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1. People who already trust you. </w:t>
      </w:r>
      <w:r>
        <w:rPr>
          <w:rFonts w:ascii="Calibri" w:hAnsi="Calibri" w:eastAsia="Calibri"/>
          <w:b w:val="0"/>
          <w:i w:val="0"/>
          <w:color w:val="1A1A1A"/>
          <w:sz w:val="20"/>
        </w:rPr>
        <w:t>AstroFinance, Tesseract, the roundtable speakers, FIBE contacts, Dialectica’s team, and former colleagues now at climate startups. This is the whole first quarter.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2. Direct notes, then a coffee. </w:t>
      </w:r>
      <w:r>
        <w:rPr>
          <w:rFonts w:ascii="Calibri" w:hAnsi="Calibri" w:eastAsia="Calibri"/>
          <w:b w:val="0"/>
          <w:i w:val="0"/>
          <w:color w:val="1A1A1A"/>
          <w:sz w:val="20"/>
        </w:rPr>
        <w:t>Heads of content, product marketing, and founders. Berlin’s climate and supply-chain scene is dense enough that a 30-minute coffee is a normal next step. Lead with a title you would write for their site.</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3. Expert networks, as bridge cash. </w:t>
      </w:r>
      <w:r>
        <w:rPr>
          <w:rFonts w:ascii="Calibri" w:hAnsi="Calibri" w:eastAsia="Calibri"/>
          <w:b w:val="0"/>
          <w:i w:val="0"/>
          <w:color w:val="1A1A1A"/>
          <w:sz w:val="20"/>
        </w:rPr>
        <w:t>Stay active on Dialectica. Apply to GLG, AlphaSights, and Guidepoint. A few calls in a thin month cover rent pressure and hand you anonymized problems you can later turn into briefs. The calls support the writing practice. They do not replace the retainer.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4. Studios that already sell the format. </w:t>
      </w:r>
      <w:r>
        <w:rPr>
          <w:rFonts w:ascii="Calibri" w:hAnsi="Calibri" w:eastAsia="Calibri"/>
          <w:b w:val="0"/>
          <w:i w:val="0"/>
          <w:color w:val="1A1A1A"/>
          <w:sz w:val="20"/>
        </w:rPr>
        <w:t>Tesseract is the model: they win the client, you write the specialist sections, you know your minimum before you accept their rate. Ask them who else they respect.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5. Talent lists, only after two public clips. </w:t>
      </w:r>
      <w:r>
        <w:rPr>
          <w:rFonts w:ascii="Calibri" w:hAnsi="Calibri" w:eastAsia="Calibri"/>
          <w:b w:val="0"/>
          <w:i w:val="0"/>
          <w:color w:val="1A1A1A"/>
          <w:sz w:val="20"/>
        </w:rPr>
        <w:t>A niche roster, Contently if the door opens, and one Upwork profile that lists only the three products and a high minimum. General freelance boards pull the rate card down. Use them late, or leave them.</w:t>
      </w:r>
    </w:p>
    <w:p>
      <w:pPr>
        <w:spacing w:before="160" w:after="40" w:line="245" w:lineRule="auto"/>
        <w:keepNext/>
        <w:pBdr>
          <w:bottom w:val="single" w:sz="6" w:space="1" w:color="1B3A2F"/>
        </w:pBdr>
      </w:pPr>
      <w:r>
        <w:rPr>
          <w:rFonts w:ascii="Calibri" w:hAnsi="Calibri" w:eastAsia="Calibri"/>
          <w:b/>
          <w:i w:val="0"/>
          <w:color w:val="1B3A2F"/>
          <w:sz w:val="24"/>
        </w:rPr>
        <w:t>9.  What is worth learning</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vocabulary, two weeks of evenings. </w:t>
      </w:r>
      <w:r>
        <w:rPr>
          <w:rFonts w:ascii="Calibri" w:hAnsi="Calibri" w:eastAsia="Calibri"/>
          <w:b w:val="0"/>
          <w:i w:val="0"/>
          <w:color w:val="1A1A1A"/>
          <w:sz w:val="20"/>
        </w:rPr>
        <w:t>GHG Protocol scopes, spend-based versus activity-based factors, and what CBAM and CSRD actually ask of supplier data. You have specified this product. The goal is a draft a sustainability lead can trust.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B2B search intent, one week. </w:t>
      </w:r>
      <w:r>
        <w:rPr>
          <w:rFonts w:ascii="Calibri" w:hAnsi="Calibri" w:eastAsia="Calibri"/>
          <w:b w:val="0"/>
          <w:i w:val="0"/>
          <w:color w:val="1A1A1A"/>
          <w:sz w:val="20"/>
        </w:rPr>
        <w:t>How a content manager writes a brief, what a single keyword is for, how internal links work. Enough to deliver the AstroFinance pieces and to talk fees with a head of content.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practice itself. </w:t>
      </w:r>
      <w:r>
        <w:rPr>
          <w:rFonts w:ascii="Calibri" w:hAnsi="Calibri" w:eastAsia="Calibri"/>
          <w:b w:val="0"/>
          <w:i w:val="0"/>
          <w:color w:val="1A1A1A"/>
          <w:sz w:val="20"/>
        </w:rPr>
        <w:t>KSK application, what you can deduct, invoice wording, and the difference between Freiberufler and a trade. That afternoon with a Steuerberater returns more than another certificate.</w:t>
      </w:r>
    </w:p>
    <w:p>
      <w:pPr>
        <w:spacing w:before="0" w:after="40" w:line="245" w:lineRule="auto"/>
        <w:jc w:val="both"/>
      </w:pPr>
      <w:r>
        <w:rPr>
          <w:rFonts w:ascii="Calibri" w:hAnsi="Calibri" w:eastAsia="Calibri"/>
          <w:b w:val="0"/>
          <w:i w:val="0"/>
          <w:color w:val="1A1A1A"/>
          <w:sz w:val="20"/>
        </w:rPr>
        <w:t>Skip a further product-management certificate, a generic copywriting course, and anything about growing a web3 audience. The gap is packaging and a pipeline, and the samples close it.</w:t>
      </w:r>
    </w:p>
    <w:p>
      <w:pPr>
        <w:spacing w:before="160" w:after="40" w:line="245" w:lineRule="auto"/>
        <w:keepNext/>
        <w:pBdr>
          <w:bottom w:val="single" w:sz="6" w:space="1" w:color="1B3A2F"/>
        </w:pBdr>
      </w:pPr>
      <w:r>
        <w:rPr>
          <w:rFonts w:ascii="Calibri" w:hAnsi="Calibri" w:eastAsia="Calibri"/>
          <w:b/>
          <w:i w:val="0"/>
          <w:color w:val="1B3A2F"/>
          <w:sz w:val="24"/>
        </w:rPr>
        <w:t>10.  Rules that keep the year intact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One sentence in public. </w:t>
      </w:r>
      <w:r>
        <w:rPr>
          <w:rFonts w:ascii="Calibri" w:hAnsi="Calibri" w:eastAsia="Calibri"/>
          <w:b w:val="0"/>
          <w:i w:val="0"/>
          <w:color w:val="1A1A1A"/>
          <w:sz w:val="20"/>
        </w:rPr>
        <w:t>If a fourth lane appears before month six, it waits. Open it only after the €5,200 month is real.</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Price floor €800, and €900 is the real brief. </w:t>
      </w:r>
      <w:r>
        <w:rPr>
          <w:rFonts w:ascii="Calibri" w:hAnsi="Calibri" w:eastAsia="Calibri"/>
          <w:b w:val="0"/>
          <w:i w:val="0"/>
          <w:color w:val="1A1A1A"/>
          <w:sz w:val="20"/>
        </w:rPr>
        <w:t>Under that, the month becomes a volume job and the master’s year gets harder, not easier.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Your name stays clean. </w:t>
      </w:r>
      <w:r>
        <w:rPr>
          <w:rFonts w:ascii="Calibri" w:hAnsi="Calibri" w:eastAsia="Calibri"/>
          <w:b w:val="0"/>
          <w:i w:val="0"/>
          <w:color w:val="1A1A1A"/>
          <w:sz w:val="20"/>
        </w:rPr>
        <w:t>No client numbers without permission. No technical piece without the footer. No litepaper that reads like an offer of securities.</w:t>
      </w:r>
    </w:p>
    <w:p>
      <w:pPr>
        <w:spacing w:before="0" w:after="6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Shrink on purpose. </w:t>
      </w:r>
      <w:r>
        <w:rPr>
          <w:rFonts w:ascii="Calibri" w:hAnsi="Calibri" w:eastAsia="Calibri"/>
          <w:b w:val="0"/>
          <w:i w:val="0"/>
          <w:color w:val="1A1A1A"/>
          <w:sz w:val="20"/>
        </w:rPr>
        <w:t>Month 9 is when you design the four-day retainer and tell clients the calendar. That same offer is what you pick back up after the degree, while the therapy roster is still small. The two practices stay separate: different name, different site, different promise.</w:t>
      </w:r>
    </w:p>
    <w:p>
      <w:pPr>
        <w:spacing w:before="40" w:after="0" w:line="245" w:lineRule="auto"/>
      </w:pPr>
      <w:r>
        <w:rPr>
          <w:rFonts w:ascii="Calibri" w:hAnsi="Calibri" w:eastAsia="Calibri"/>
          <w:b w:val="0"/>
          <w:i/>
          <w:color w:val="3D4A45"/>
          <w:sz w:val="16"/>
        </w:rPr>
        <w:t>Planning note. Specialist rates cited from public pages as of early 2026: The EcoWriter (€85/hour; €3,000 for a 1,500–2,000 word sustainability article) and Renewable Writing (white papers from $6,000). German thresholds used here: Kleinunternehmer prior-year turnover under €25,000 and current-year under €100,000; KSK health-insurance contributions assessed from a 2026 minimum income of €7,910 a year, with the insured paying roughly half. The €5,200 figure is a planning estimate, not tax advice.</w:t>
      </w:r>
    </w:p>
    <w:sectPr w:rsidR="00FC693F" w:rsidRPr="0006063C" w:rsidSect="00034616">
      <w:footerReference w:type="default" r:id="rId9"/>
      <w:pgSz w:w="11906" w:h="16838"/>
      <w:pgMar w:top="652" w:right="765" w:bottom="680" w:left="765"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Pr>
    <w:r>
      <w:rPr>
        <w:rFonts w:ascii="Calibri" w:hAnsi="Calibri" w:eastAsia="Calibri"/>
        <w:b w:val="0"/>
        <w:i w:val="0"/>
        <w:color w:val="3D4A45"/>
        <w:sz w:val="16"/>
      </w:rPr>
      <w:t xml:space="preserve">Domain writing plan  ·  Nicolas Picard  ·  Berlin  ·  October 2026     </w:t>
    </w:r>
    <w:r>
      <w:rPr>
        <w:rFonts w:ascii="Calibri" w:hAnsi="Calibri" w:eastAsia="Calibri"/>
        <w:b w:val="0"/>
        <w:i w:val="0"/>
        <w:color w:val="3D4A45"/>
        <w:sz w:val="16"/>
      </w:rPr>
      <w:fldChar w:fldCharType="begin"/>
      <w:instrText xml:space="preserve"> PAGE </w:instrText>
      <w:fldChar w:fldCharType="end"/>
    </w:r>
    <w:r>
      <w:rPr>
        <w:rFonts w:ascii="Calibri" w:hAnsi="Calibri" w:eastAsia="Calibri"/>
        <w:b w:val="0"/>
        <w:i w:val="0"/>
        <w:color w:val="3D4A45"/>
        <w:sz w:val="16"/>
      </w:rPr>
      <w:t xml:space="preserve"> / </w:t>
    </w:r>
    <w:r>
      <w:rPr>
        <w:rFonts w:ascii="Calibri" w:hAnsi="Calibri" w:eastAsia="Calibri"/>
        <w:b w:val="0"/>
        <w:i w:val="0"/>
        <w:color w:val="3D4A45"/>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