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  <w:sz w:val="34"/>
        </w:rPr>
        <w:t>What Role Should AI Play in Carbon Accounting — and for What Purpose?</w:t>
      </w:r>
    </w:p>
    <w:p>
      <w:pPr>
        <w:jc w:val="center"/>
      </w:pPr>
      <w:r>
        <w:rPr>
          <w:i/>
        </w:rPr>
        <w:t>Research briefing · September 2026</w:t>
      </w:r>
    </w:p>
    <w:p>
      <w:pPr>
        <w:pStyle w:val="Heading2"/>
      </w:pPr>
      <w:r>
        <w:rPr>
          <w:color w:val="1F3864"/>
          <w:sz w:val="24"/>
        </w:rPr>
        <w:t>1. What "AI in carbon accounting" actually means</w:t>
      </w:r>
    </w:p>
    <w:p>
      <w:r>
        <w:t xml:space="preserve">The methodology has not changed. It is still the GHG Protocol, still Scope 1/2/3, still CO₂e. What AI changes is </w:t>
      </w:r>
      <w:r>
        <w:rPr>
          <w:b/>
        </w:rPr>
        <w:t>who does the grunt work between the source document and the disclosure</w:t>
      </w:r>
      <w:r>
        <w:t>. The term covers four distinct layers, and conflating them is the main source of confusion: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467"/>
        <w:gridCol w:w="3467"/>
        <w:gridCol w:w="3467"/>
      </w:tblGrid>
      <w:tr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What AI does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Maturity</w:t>
            </w:r>
          </w:p>
        </w:tc>
      </w:tr>
      <w:tr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Capture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OCR and LLM parsing of utility bills, fuel receipts, freight invoices, supplier PDFs; connectors into ERP, procurement, travel, HR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Production-grade</w:t>
            </w:r>
          </w:p>
        </w:tc>
      </w:tr>
      <w:tr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Mapping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Matching thousands of activity/spend lines to the right emission factor or LCI process; unit and geography harmonisation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Works, but error-prone</w:t>
            </w:r>
          </w:p>
        </w:tc>
      </w:tr>
      <w:tr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Estimation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Gap-filling, proxy selection, anomaly detection, supplier-data enrichment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Useful, needs governance</w:t>
            </w:r>
          </w:p>
        </w:tc>
      </w:tr>
      <w:tr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Narrative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Drafting disclosures; pushing one dataset into ESRS, IFRS S2, CDP and CBAM at once</w:t>
            </w:r>
          </w:p>
        </w:tc>
        <w:tc>
          <w:tcPr>
            <w:tcW w:type="dxa" w:w="3467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Fast, highest greenwashing risk</w:t>
            </w:r>
          </w:p>
        </w:tc>
      </w:tr>
    </w:tbl>
    <w:p/>
    <w:p>
      <w:r>
        <w:t xml:space="preserve">A fifth, newer sense is AI as the </w:t>
      </w:r>
      <w:r>
        <w:rPr>
          <w:b/>
        </w:rPr>
        <w:t>subject</w:t>
      </w:r>
      <w:r>
        <w:t xml:space="preserve"> of carbon accounting — measuring the emissions of the company's own AI usage. That is genuinely unsolved (§5).</w:t>
      </w:r>
    </w:p>
    <w:p>
      <w:r>
        <w:t>The purpose, correctly framed, is not to have AI produce the number. It is to compress the data-janitorial work so that scarce expert judgement goes to boundaries, materiality, assumptions and reduction decisions.</w:t>
      </w:r>
    </w:p>
    <w:p>
      <w:pPr>
        <w:pStyle w:val="Heading2"/>
      </w:pPr>
      <w:r>
        <w:rPr>
          <w:color w:val="1F3864"/>
          <w:sz w:val="24"/>
        </w:rPr>
        <w:t>2. Who is doing this today</w:t>
      </w:r>
    </w:p>
    <w:p>
      <w:pPr>
        <w:pStyle w:val="ListBullet"/>
      </w:pPr>
      <w:r>
        <w:rPr>
          <w:b/>
        </w:rPr>
        <w:t>Watershed</w:t>
      </w:r>
      <w:r>
        <w:t xml:space="preserve"> — the clearest agent-first play: agents for ingestion, cleaning, anomaly detection, analysis and report drafting, plus expert-built "skills" (methodology comparison, YoY root-cause). Claims 65–80% time savings on data cleaning.</w:t>
      </w:r>
    </w:p>
    <w:p>
      <w:pPr>
        <w:pStyle w:val="ListBullet"/>
      </w:pPr>
      <w:r>
        <w:rPr>
          <w:b/>
        </w:rPr>
        <w:t>Persefoni</w:t>
      </w:r>
      <w:r>
        <w:t xml:space="preserve"> — finance-grade positioning: Copilot, anomaly detection on million-row datasets, natural-language factor mapping, strong on PCAF/financed emissions.</w:t>
      </w:r>
    </w:p>
    <w:p>
      <w:pPr>
        <w:pStyle w:val="ListBullet"/>
      </w:pPr>
      <w:r>
        <w:rPr>
          <w:b/>
        </w:rPr>
        <w:t>Sweep, Normative, CO2 AI, Net0, Plan A</w:t>
      </w:r>
      <w:r>
        <w:t xml:space="preserve"> — AI-assisted mapping, supplier engagement, multi-framework disclosure. Normative launched an AI-driven SKU-level PCF product in 2026 for CSRD/CBAM; Net0 markets 10,000+ connectors against 50,000+ factors.</w:t>
      </w:r>
    </w:p>
    <w:p>
      <w:pPr>
        <w:pStyle w:val="ListBullet"/>
      </w:pPr>
      <w:r>
        <w:rPr>
          <w:b/>
        </w:rPr>
        <w:t>Climatiq</w:t>
      </w:r>
      <w:r>
        <w:t xml:space="preserve"> — the infrastructure layer: an API that AI-selects the best-fitting factor with documented region/year fallback logic, embedded inside other ERP and ESG products.</w:t>
      </w:r>
    </w:p>
    <w:p>
      <w:pPr>
        <w:pStyle w:val="ListBullet"/>
      </w:pPr>
      <w:r>
        <w:rPr>
          <w:b/>
        </w:rPr>
        <w:t>Incumbents</w:t>
      </w:r>
      <w:r>
        <w:t xml:space="preserve"> — IBM Envizi, Microsoft Sustainability Manager, SAP Sustainability Footprint Management, embedding the same capabilities into systems companies already own.</w:t>
      </w:r>
    </w:p>
    <w:p>
      <w:pPr>
        <w:pStyle w:val="Heading2"/>
      </w:pPr>
      <w:r>
        <w:rPr>
          <w:color w:val="1F3864"/>
          <w:sz w:val="24"/>
        </w:rPr>
        <w:t>3. Trends and projections</w:t>
      </w:r>
    </w:p>
    <w:p>
      <w:r>
        <w:rPr>
          <w:b/>
        </w:rPr>
        <w:t>Market.</w:t>
      </w:r>
      <w:r>
        <w:t xml:space="preserve"> Analysts put carbon accounting software at </w:t>
      </w:r>
      <w:r>
        <w:rPr>
          <w:b/>
        </w:rPr>
        <w:t>$27.5–27.8bn in 2026 rising to ~$63.5bn by 2030</w:t>
      </w:r>
      <w:r>
        <w:t xml:space="preserve"> (≈23% CAGR); the narrower "AI carbon footprint management" segment at </w:t>
      </w:r>
      <w:r>
        <w:rPr>
          <w:b/>
        </w:rPr>
        <w:t>$2.17bn in 2026 → $5.56bn by 2031</w:t>
      </w:r>
      <w:r>
        <w:t>. Treat these directionally — definitions differ between houses and the reports are commercially produced.</w:t>
      </w:r>
    </w:p>
    <w:p>
      <w:r>
        <w:rPr>
          <w:b/>
        </w:rPr>
        <w:t>Regulation just moved.</w:t>
      </w:r>
      <w:r>
        <w:t xml:space="preserve"> EU </w:t>
      </w:r>
      <w:r>
        <w:rPr>
          <w:b/>
        </w:rPr>
        <w:t>Omnibus I</w:t>
      </w:r>
      <w:r>
        <w:t xml:space="preserve"> (Directive (EU) 2026/470, in force February 2026) cut CSRD scope to companies above </w:t>
      </w:r>
      <w:r>
        <w:rPr>
          <w:b/>
        </w:rPr>
        <w:t>both</w:t>
      </w:r>
      <w:r>
        <w:t xml:space="preserve"> €450m turnover and 1,000 employees from FY2027, first reports in 2028, non-EU groups 2029. Fewer filers, but each reporting under simplified ESRS 2.0 with assurance attached. In the US, </w:t>
      </w:r>
      <w:r>
        <w:rPr>
          <w:b/>
        </w:rPr>
        <w:t>California SB 253</w:t>
      </w:r>
      <w:r>
        <w:t xml:space="preserve"> Scope 1 and 2 reports are due </w:t>
      </w:r>
      <w:r>
        <w:rPr>
          <w:b/>
        </w:rPr>
        <w:t>10 November 2026</w:t>
      </w:r>
      <w:r>
        <w:t xml:space="preserve"> under enforcement discretion.</w:t>
      </w:r>
    </w:p>
    <w:p>
      <w:r>
        <w:rPr>
          <w:b/>
        </w:rPr>
        <w:t>Assurance arrives next.</w:t>
      </w:r>
      <w:r>
        <w:t xml:space="preserve"> </w:t>
      </w:r>
      <w:r>
        <w:rPr>
          <w:b/>
        </w:rPr>
        <w:t>ISSA 5000</w:t>
      </w:r>
      <w:r>
        <w:t xml:space="preserve"> applies to periods beginning on or after </w:t>
      </w:r>
      <w:r>
        <w:rPr>
          <w:b/>
        </w:rPr>
        <w:t>15 December 2026</w:t>
      </w:r>
      <w:r>
        <w:t>, requiring practitioners to evaluate the reliability of entity-produced information and obtain evidence of its accuracy and completeness — precisely where an opaque AI pipeline fails. The IAASB added AI questions in sustainability assurance to its Technology Catalog in 2026.</w:t>
      </w:r>
    </w:p>
    <w:p>
      <w:r>
        <w:rPr>
          <w:b/>
        </w:rPr>
        <w:t>The methodology floor is moving too.</w:t>
      </w:r>
      <w:r>
        <w:t xml:space="preserve"> GHG Protocol and ISO are consolidating the Corporate, Scope 2, Scope 3 and Actions &amp; Market Instruments workstreams with ISO 14064-1 into one co-branded standard: consultation </w:t>
      </w:r>
      <w:r>
        <w:rPr>
          <w:b/>
        </w:rPr>
        <w:t>Q2 2027</w:t>
      </w:r>
      <w:r>
        <w:t xml:space="preserve">, publication targeted </w:t>
      </w:r>
      <w:r>
        <w:rPr>
          <w:b/>
        </w:rPr>
        <w:t>Q4 2028</w:t>
      </w:r>
      <w:r>
        <w:t>. Tooling bought today must survive that rewrite.</w:t>
      </w:r>
    </w:p>
    <w:p>
      <w:pPr>
        <w:pStyle w:val="Heading2"/>
      </w:pPr>
      <w:r>
        <w:rPr>
          <w:color w:val="1F3864"/>
          <w:sz w:val="24"/>
        </w:rPr>
        <w:t>4. Advantages in practice</w:t>
      </w:r>
    </w:p>
    <w:p>
      <w:pPr>
        <w:pStyle w:val="ListNumber"/>
      </w:pPr>
      <w:r>
        <w:rPr>
          <w:b/>
        </w:rPr>
        <w:t>Throughput on the actual bottleneck.</w:t>
      </w:r>
      <w:r>
        <w:t xml:space="preserve"> Scope 3 line-item mapping and unstructured-document extraction are the real constraints, and they are classification tasks rather than judgement — which is why the reported 65–80% time reductions are credible.</w:t>
      </w:r>
    </w:p>
    <w:p>
      <w:pPr>
        <w:pStyle w:val="ListNumber"/>
      </w:pPr>
      <w:r>
        <w:rPr>
          <w:b/>
        </w:rPr>
        <w:t>Continuous rather than annual.</w:t>
      </w:r>
      <w:r>
        <w:t xml:space="preserve"> Near-real-time capture means emissions data arrives early enough to influence procurement and operations, not just to be reported.</w:t>
      </w:r>
    </w:p>
    <w:p>
      <w:pPr>
        <w:pStyle w:val="ListNumber"/>
      </w:pPr>
      <w:r>
        <w:rPr>
          <w:b/>
        </w:rPr>
        <w:t>Error detection at inhuman scale.</w:t>
      </w:r>
      <w:r>
        <w:t xml:space="preserve"> Anomaly detection across millions of rows catches double-counting, unit errors and missing meters before an auditor does.</w:t>
      </w:r>
    </w:p>
    <w:p>
      <w:pPr>
        <w:pStyle w:val="ListNumber"/>
      </w:pPr>
      <w:r>
        <w:rPr>
          <w:b/>
        </w:rPr>
        <w:t>One dataset, many frameworks.</w:t>
      </w:r>
      <w:r>
        <w:t xml:space="preserve"> Mapping a single inventory into ESRS, IFRS S2, CDP and CBAM removes weeks of reformatting and inter-disclosure inconsistency.</w:t>
      </w:r>
    </w:p>
    <w:p>
      <w:pPr>
        <w:pStyle w:val="ListNumber"/>
      </w:pPr>
      <w:r>
        <w:rPr>
          <w:b/>
        </w:rPr>
        <w:t>Emissions joined to spend.</w:t>
      </w:r>
      <w:r>
        <w:t xml:space="preserve"> Analysing CO₂e alongside financial data turns sustainability work into a cost-savings argument — the thing that keeps budget attached to it.</w:t>
      </w:r>
    </w:p>
    <w:p>
      <w:pPr>
        <w:pStyle w:val="Heading2"/>
      </w:pPr>
      <w:r>
        <w:rPr>
          <w:color w:val="1F3864"/>
          <w:sz w:val="24"/>
        </w:rPr>
        <w:t>5. Issues and disadvantages in practice</w:t>
      </w:r>
    </w:p>
    <w:p>
      <w:r>
        <w:rPr>
          <w:b/>
        </w:rPr>
        <w:t>The accuracy evidence is sobering, and it is now measured rather than asserted.</w:t>
      </w:r>
    </w:p>
    <w:p>
      <w:pPr>
        <w:pStyle w:val="ListBullet"/>
      </w:pPr>
      <w:r>
        <w:rPr>
          <w:b/>
        </w:rPr>
        <w:t>PCFBench</w:t>
      </w:r>
      <w:r>
        <w:t xml:space="preserve"> (2026; 614 expert-labelled items, eight frontier LLMs): the best models land within 2× of declared product totals for 77% of products — but step-by-step accuracy falls to </w:t>
      </w:r>
      <w:r>
        <w:rPr>
          <w:b/>
        </w:rPr>
        <w:t>37–58%</w:t>
      </w:r>
      <w:r>
        <w:t xml:space="preserve">, and only </w:t>
      </w:r>
      <w:r>
        <w:rPr>
          <w:b/>
        </w:rPr>
        <w:t>45–75%</w:t>
      </w:r>
      <w:r>
        <w:t xml:space="preserve"> of outputs obey mass conservation. Scoring totals alone hides errors that cancel out.</w:t>
      </w:r>
    </w:p>
    <w:p>
      <w:pPr>
        <w:pStyle w:val="ListBullet"/>
      </w:pPr>
      <w:r>
        <w:t xml:space="preserve">A </w:t>
      </w:r>
      <w:r>
        <w:rPr>
          <w:b/>
        </w:rPr>
        <w:t>467-question emission-factor benchmark</w:t>
      </w:r>
      <w:r>
        <w:t xml:space="preserve"> across five frontier models found </w:t>
      </w:r>
      <w:r>
        <w:rPr>
          <w:b/>
        </w:rPr>
        <w:t>43–65% unaided accuracy</w:t>
      </w:r>
      <w:r>
        <w:t xml:space="preserve">, and models named the </w:t>
      </w:r>
      <w:r>
        <w:rPr>
          <w:b/>
        </w:rPr>
        <w:t>correct publisher alongside a wrong number in up to 58% of cases</w:t>
      </w:r>
      <w:r>
        <w:t>. That is the failure that survives review: a wrong number wearing DEFRA's name.</w:t>
      </w:r>
    </w:p>
    <w:p>
      <w:pPr>
        <w:pStyle w:val="ListBullet"/>
      </w:pPr>
      <w:r>
        <w:rPr>
          <w:b/>
        </w:rPr>
        <w:t>FAULDIER</w:t>
      </w:r>
      <w:r>
        <w:t>, an LLM-assisted LCI mapping framework, reached ~57% process/flow mapping accuracy with hallucinated and run-to-run inconsistent mappings.</w:t>
      </w:r>
    </w:p>
    <w:p>
      <w:r>
        <w:rPr>
          <w:b/>
        </w:rPr>
        <w:t>Beyond accuracy:</w:t>
      </w:r>
    </w:p>
    <w:p>
      <w:pPr>
        <w:pStyle w:val="ListBullet"/>
      </w:pPr>
      <w:r>
        <w:rPr>
          <w:b/>
        </w:rPr>
        <w:t>New greenwashing vectors</w:t>
      </w:r>
      <w:r>
        <w:t xml:space="preserve"> — hallucinated figures, stale factor versions baked into model weights, optimistic scenarios presented as base case, and hardest to catch, fabricated citations to </w:t>
      </w:r>
      <w:r>
        <w:rPr>
          <w:i/>
        </w:rPr>
        <w:t>real</w:t>
      </w:r>
      <w:r>
        <w:t xml:space="preserve"> standards with invented paragraph numbers.</w:t>
      </w:r>
    </w:p>
    <w:p>
      <w:pPr>
        <w:pStyle w:val="ListBullet"/>
      </w:pPr>
      <w:r>
        <w:rPr>
          <w:b/>
        </w:rPr>
        <w:t>Automation complacency.</w:t>
      </w:r>
      <w:r>
        <w:t xml:space="preserve"> In a 2026 experiment, well-trained preparers using generative AI produced vague, unspecific reports and only recognised it on later reflection; they skipped the quality checks the workflow assumed.</w:t>
      </w:r>
    </w:p>
    <w:p>
      <w:pPr>
        <w:pStyle w:val="ListBullet"/>
      </w:pPr>
      <w:r>
        <w:rPr>
          <w:b/>
        </w:rPr>
        <w:t>AI's own footprint.</w:t>
      </w:r>
      <w:r>
        <w:t xml:space="preserve"> The IEA projects data centre electricity roughly doubling from </w:t>
      </w:r>
      <w:r>
        <w:rPr>
          <w:b/>
        </w:rPr>
        <w:t>485 TWh in 2025 to ~950 TWh in 2030</w:t>
      </w:r>
      <w:r>
        <w:t xml:space="preserve"> (~3% of global demand), AI-focused capacity tripling, and associated emissions near 350 Mt CO₂ by 2035.</w:t>
      </w:r>
    </w:p>
    <w:p>
      <w:pPr>
        <w:pStyle w:val="ListBullet"/>
      </w:pPr>
      <w:r>
        <w:rPr>
          <w:b/>
        </w:rPr>
        <w:t>Accounting for your own AI use is unstandardised.</w:t>
      </w:r>
      <w:r>
        <w:t xml:space="preserve"> Per-query estimates differ by orders of magnitude, and the common fallback — a generic ICT-sector EEIO spend factor — </w:t>
      </w:r>
      <w:r>
        <w:rPr>
          <w:b/>
        </w:rPr>
        <w:t>overstates AI inference emissions by 10–40×</w:t>
      </w:r>
      <w:r>
        <w:t xml:space="preserve"> versus physical methods. Only one frontier provider publishes per-prompt figures, and only as a fleet-wide median.</w:t>
      </w:r>
    </w:p>
    <w:p>
      <w:pPr>
        <w:pStyle w:val="Heading2"/>
      </w:pPr>
      <w:r>
        <w:rPr>
          <w:color w:val="1F3864"/>
          <w:sz w:val="24"/>
        </w:rPr>
        <w:t>6. Why this is pressing for carbon accountants</w:t>
      </w:r>
    </w:p>
    <w:p>
      <w:r>
        <w:t>Three deadlines converge inside twelve months: SB 253 filings in November 2026; ISSA 5000 for periods beginning December 2026, the first cycle in which an assurance provider formally tests whether your data is reliable, accurate and complete; and the GHG Protocol–ISO consultation in Q2 2027.</w:t>
      </w:r>
    </w:p>
    <w:p>
      <w:r>
        <w:t>Meanwhile the workload has not shrunk for those still in scope. Omnibus I removed filers, not Scope 3, and the companies remaining are the ones with the most complex value chains. The indirect pull matters too: in-scope companies now demand data from suppliers with no reporting obligation of their own, dragging smaller organisations into the market ahead of their own deadlines.</w:t>
      </w:r>
    </w:p>
    <w:p>
      <w:r>
        <w:t>The risk is asymmetric. A team that refuses AI will miss deadlines or burn expert capacity on invoice transcription. A team that adopts it naively will sign off on numbers it cannot defend, under a standard that now makes someone personally accountable for them.</w:t>
      </w:r>
    </w:p>
    <w:p>
      <w:pPr>
        <w:pStyle w:val="Heading2"/>
      </w:pPr>
      <w:r>
        <w:rPr>
          <w:color w:val="1F3864"/>
          <w:sz w:val="24"/>
        </w:rPr>
        <w:t>7. What is preventing progress or clarity</w:t>
      </w:r>
    </w:p>
    <w:p>
      <w:pPr>
        <w:pStyle w:val="ListBullet"/>
      </w:pPr>
      <w:r>
        <w:rPr>
          <w:b/>
        </w:rPr>
        <w:t>No agreed definition of "AI-assisted" in an inventory.</w:t>
      </w:r>
      <w:r>
        <w:t xml:space="preserve"> ISSA 5000 tells auditors to evaluate reliability; it does not describe an acceptable AI control environment. Every firm is improvising.</w:t>
      </w:r>
    </w:p>
    <w:p>
      <w:pPr>
        <w:pStyle w:val="ListBullet"/>
      </w:pPr>
      <w:r>
        <w:rPr>
          <w:b/>
        </w:rPr>
        <w:t>Vendor claims are unfalsifiable.</w:t>
      </w:r>
      <w:r>
        <w:t xml:space="preserve"> "AI-powered emission factor matching" is marketed without published accuracy rates, evaluation method or error bars, so buyers cannot compare.</w:t>
      </w:r>
    </w:p>
    <w:p>
      <w:pPr>
        <w:pStyle w:val="ListBullet"/>
      </w:pPr>
      <w:r>
        <w:rPr>
          <w:b/>
        </w:rPr>
        <w:t>Benchmarks exist but nobody demands them.</w:t>
      </w:r>
      <w:r>
        <w:t xml:space="preserve"> PCFBench and the factor benchmarks appeared in 2026; no regulator, assurance provider or procurement process yet requires vendors to report against them.</w:t>
      </w:r>
    </w:p>
    <w:p>
      <w:pPr>
        <w:pStyle w:val="ListBullet"/>
      </w:pPr>
      <w:r>
        <w:rPr>
          <w:b/>
        </w:rPr>
        <w:t>A moving methodology floor.</w:t>
      </w:r>
      <w:r>
        <w:t xml:space="preserve"> With the consolidated standard not final until late 2028, factor libraries, Scope 2 treatment and Scope 3 category rules are provisionally correct at best.</w:t>
      </w:r>
    </w:p>
    <w:p>
      <w:pPr>
        <w:pStyle w:val="ListBullet"/>
      </w:pPr>
      <w:r>
        <w:rPr>
          <w:b/>
        </w:rPr>
        <w:t>Structural opacity upstream, and a skills gap downstream.</w:t>
      </w:r>
      <w:r>
        <w:t xml:space="preserve"> Cloud and model providers withhold the energy and grid-mix data needed to account for AI workloads. And the reviewer who can catch "right publisher, wrong number" — fluent in both inventories and models — is rare.</w:t>
      </w:r>
    </w:p>
    <w:p>
      <w:pPr>
        <w:pStyle w:val="Heading2"/>
      </w:pPr>
      <w:r>
        <w:rPr>
          <w:color w:val="1F3864"/>
          <w:sz w:val="24"/>
        </w:rPr>
        <w:t>8. Four things that would move this forward</w:t>
      </w:r>
    </w:p>
    <w:p>
      <w:r>
        <w:rPr>
          <w:b/>
        </w:rPr>
        <w:t>1. Mandate retrieval, prohibit recall.</w:t>
      </w:r>
      <w:r>
        <w:t xml:space="preserve"> The highest-leverage control available. In the 467-question benchmark, giving models a sourced factor-lookup tool moved accuracy from 38–50% to </w:t>
      </w:r>
      <w:r>
        <w:rPr>
          <w:b/>
        </w:rPr>
        <w:t>98.7–100%</w:t>
      </w:r>
      <w:r>
        <w:t>, with large errors falling to ~1% or zero. Policy: no emission factor enters an inventory from a model's weights — only from a versioned, cited database lookup. Cheap, testable, immediately auditable.</w:t>
      </w:r>
    </w:p>
    <w:p>
      <w:r>
        <w:rPr>
          <w:b/>
        </w:rPr>
        <w:t>2. Make data lineage a procurement gate, not a feature.</w:t>
      </w:r>
      <w:r>
        <w:t xml:space="preserve"> Require every figure to trace to a source document, a named factor with its version, and an approval chain. If a vendor cannot produce that trail for an arbitrary line item during evaluation, it is a black box and assurance will reject it. Pair with an ISSA 5000-mapped control set: immutable logs, prompt and model versioning, a rule that AI never decides materiality, and a named human sign-off per disclosure.</w:t>
      </w:r>
    </w:p>
    <w:p>
      <w:r>
        <w:rPr>
          <w:b/>
        </w:rPr>
        <w:t>3. Evaluate step-wise, and publish the results.</w:t>
      </w:r>
      <w:r>
        <w:t xml:space="preserve"> Totals hide cancelling errors — 77% accuracy on totals collapsed to 37–58% on intermediate steps. Industry bodies should require vendors to publish per-task accuracy against open benchmarks. Internally, run a labelled sample of your own line items through any tool before trusting it at scale.</w:t>
      </w:r>
    </w:p>
    <w:p>
      <w:r>
        <w:rPr>
          <w:b/>
        </w:rPr>
        <w:t>4. Bring AI use inside the inventory.</w:t>
      </w:r>
      <w:r>
        <w:t xml:space="preserve"> Adopt a tiered method now: provider-reported figures where they exist, token- and GPU-benchmark physical estimation next, spend-based EEIO only as a last resort with an explicit note that it can overstate by 10–40×. Doing this early gives the profession standing to demand better provider disclosure, and avoids an unmeasured, fast-growing line item.</w:t>
      </w:r>
    </w:p>
    <w:p>
      <w:pPr>
        <w:pStyle w:val="Heading2"/>
      </w:pPr>
      <w:r>
        <w:rPr>
          <w:color w:val="1F3864"/>
          <w:sz w:val="24"/>
        </w:rPr>
        <w:t>9. Three free, in-depth reads</w:t>
      </w:r>
    </w:p>
    <w:p>
      <w:pPr>
        <w:pStyle w:val="ListNumber"/>
      </w:pPr>
      <w:r>
        <w:rPr>
          <w:b/>
        </w:rPr>
        <w:t>PCFBench: A Diagnostic Benchmark for Product Carbon Footprint Estimation</w:t>
      </w:r>
      <w:r>
        <w:t xml:space="preserve"> (arXiv:2608.27716, Aug 2026) — </w:t>
      </w:r>
      <w:r>
        <w:rPr>
          <w:color w:val="1F4E79"/>
          <w:u w:val="single"/>
        </w:rPr>
        <w:t>arxiv.org/abs/2608.27716</w:t>
      </w:r>
      <w:r>
        <w:t>. The best single source on where AI breaks in carbon work: 614 expert-labelled items across six decomposed tasks, eight frontier models, dataset and evaluation harness released openly. Read before believing any vendor accuracy claim.</w:t>
      </w:r>
    </w:p>
    <w:p>
      <w:pPr>
        <w:pStyle w:val="ListNumber"/>
      </w:pPr>
      <w:r>
        <w:rPr>
          <w:b/>
        </w:rPr>
        <w:t>IEA, *Key Questions on Energy and AI</w:t>
      </w:r>
      <w:r>
        <w:t xml:space="preserve">* (16 April 2026) — </w:t>
      </w:r>
      <w:r>
        <w:rPr>
          <w:color w:val="1F4E79"/>
          <w:u w:val="single"/>
        </w:rPr>
        <w:t>iea.org/reports/key-questions-on-energy-and-ai</w:t>
      </w:r>
      <w:r>
        <w:t>. Free and CC BY 4.0; the authoritative non-commercial account of AI's own energy and emissions trajectory. Essential for the "is the cure worse than the disease" question.</w:t>
      </w:r>
    </w:p>
    <w:p>
      <w:pPr>
        <w:pStyle w:val="ListNumber"/>
      </w:pPr>
      <w:r>
        <w:rPr>
          <w:b/>
        </w:rPr>
        <w:t>Estimating GHG Emissions from AI Use: Framework for Corporate-Level Measurement</w:t>
      </w:r>
      <w:r>
        <w:t xml:space="preserve"> (arXiv:2608.06733, Aug 2026) — </w:t>
      </w:r>
      <w:r>
        <w:rPr>
          <w:color w:val="1F4E79"/>
          <w:u w:val="single"/>
        </w:rPr>
        <w:t>arxiv.org/abs/2608.06733</w:t>
      </w:r>
      <w:r>
        <w:t>. A tiered, openly published methodology for putting corporate AI usage into an inventory, honest about data constraints and the unresolved Scope 2 debate it inherits. The most directly actionable of the three.</w:t>
      </w:r>
    </w:p>
    <w:p>
      <w:r>
        <w:rPr>
          <w:i/>
        </w:rPr>
        <w:t>Worth a look, with a caveat:</w:t>
      </w:r>
      <w:r>
        <w:t xml:space="preserve"> </w:t>
      </w:r>
      <w:r>
        <w:rPr>
          <w:b/>
        </w:rPr>
        <w:t>"How Accurate Is AI on Emission Factors? 467 Tested"</w:t>
      </w:r>
      <w:r>
        <w:t xml:space="preserve"> (</w:t>
      </w:r>
      <w:r>
        <w:rPr>
          <w:color w:val="1F4E79"/>
          <w:u w:val="single"/>
        </w:rPr>
        <w:t>greencalculus.com/guides/ai-emission-factors-accuracy</w:t>
      </w:r>
      <w:r>
        <w:t>), dataset public on Hugging Face and Zenodo. The retrieval-versus-recall finding is the most useful practical result here, but it is published by a factor-data vendor whose product the conclusion favours — read it as a reproducible experiment, not neutral analysis.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