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A5C"/>
          <w:sz w:val="32"/>
        </w:rPr>
        <w:t>GUION DE PRESENTACIÓN</w:t>
      </w:r>
    </w:p>
    <w:p>
      <w:pPr>
        <w:spacing w:after="40"/>
        <w:jc w:val="center"/>
      </w:pPr>
      <w:r>
        <w:rPr>
          <w:rFonts w:ascii="Calibri" w:hAnsi="Calibri"/>
          <w:b w:val="0"/>
          <w:i w:val="0"/>
          <w:color w:val="555555"/>
          <w:sz w:val="24"/>
        </w:rPr>
        <w:t>Caso 86 — Catálogo de Esquemas Tributarios SII 2025</w:t>
      </w:r>
    </w:p>
    <w:p>
      <w:pPr>
        <w:spacing w:after="40"/>
        <w:jc w:val="center"/>
      </w:pPr>
      <w:r>
        <w:rPr>
          <w:rFonts w:ascii="Calibri" w:hAnsi="Calibri"/>
          <w:b w:val="0"/>
          <w:i w:val="0"/>
          <w:color w:val="555555"/>
          <w:sz w:val="21"/>
        </w:rPr>
        <w:t>Expositor: Nicolás Muñoz  ·  Grupo 4  ·  Magíster en Dirección Tributaria UVM</w:t>
      </w:r>
    </w:p>
    <w:p>
      <w:pPr>
        <w:spacing w:after="320"/>
        <w:jc w:val="center"/>
      </w:pPr>
      <w:r>
        <w:rPr>
          <w:rFonts w:ascii="Calibri" w:hAnsi="Calibri"/>
          <w:b w:val="0"/>
          <w:i/>
          <w:color w:val="E8500A"/>
          <w:sz w:val="20"/>
        </w:rPr>
        <w:t>Slides a cargo: 1 — Portada  ·  2 — Caso 86  ·  7 — Alternativas de Solución</w:t>
      </w:r>
    </w:p>
    <w:p>
      <w:pPr>
        <w:spacing w:before="80" w:after="80"/>
      </w:pPr>
      <w:r>
        <w:rPr>
          <w:rFonts w:ascii="Calibri" w:hAnsi="Calibri"/>
          <w:b w:val="0"/>
          <w:i w:val="0"/>
          <w:color w:val="CCCCCC"/>
          <w:sz w:val="14"/>
        </w:rPr>
        <w:t>────────────────────────────────────────────────────────────────────────────────</w:t>
      </w:r>
    </w:p>
    <w:p>
      <w:pPr>
        <w:spacing w:before="360" w:after="40"/>
        <w:shd w:val="clear" w:color="auto" w:fill="1A3A5C"/>
      </w:pPr>
      <w:r>
        <w:rPr>
          <w:rFonts w:ascii="Calibri" w:hAnsi="Calibri"/>
          <w:b/>
          <w:i w:val="0"/>
          <w:color w:val="FFFFFF"/>
          <w:sz w:val="22"/>
        </w:rPr>
        <w:t xml:space="preserve">  SLIDE 1  —  PORTADA</w:t>
      </w:r>
    </w:p>
    <w:p>
      <w:pPr>
        <w:spacing w:before="280" w:after="80"/>
      </w:pPr>
      <w:r>
        <w:rPr>
          <w:rFonts w:ascii="Calibri" w:hAnsi="Calibri"/>
          <w:b/>
          <w:i w:val="0"/>
          <w:color w:val="1A3A5C"/>
          <w:sz w:val="26"/>
        </w:rPr>
        <w:t>Introducción</w:t>
      </w:r>
    </w:p>
    <w:p>
      <w:pPr>
        <w:spacing w:before="40" w:after="120"/>
        <w:ind w:left="283"/>
        <w:jc w:val="both"/>
      </w:pPr>
      <w:r>
        <w:rPr>
          <w:rFonts w:ascii="Calibri" w:hAnsi="Calibri"/>
          <w:b w:val="0"/>
          <w:i/>
          <w:color w:val="1C1C1C"/>
          <w:sz w:val="24"/>
        </w:rPr>
        <w:t>Buenas tardes. Somos el Grupo 4 del Magíster en Dirección Tributaria de la Universidad Viña del Mar. Hoy presentamos el análisis del Caso 86 del Catálogo de Esquemas Tributarios del SII 2025, que aborda la interposición de una sociedad de profesionales con socios que no prestan servicios.</w:t>
      </w:r>
    </w:p>
    <w:p>
      <w:pPr>
        <w:spacing w:before="80" w:after="80"/>
      </w:pPr>
      <w:r>
        <w:rPr>
          <w:rFonts w:ascii="Calibri" w:hAnsi="Calibri"/>
          <w:b w:val="0"/>
          <w:i w:val="0"/>
          <w:color w:val="CCCCCC"/>
          <w:sz w:val="14"/>
        </w:rPr>
        <w:t>────────────────────────────────────────────────────────────────────────────────</w:t>
      </w:r>
    </w:p>
    <w:p>
      <w:pPr>
        <w:spacing w:before="360" w:after="40"/>
        <w:shd w:val="clear" w:color="auto" w:fill="1A3A5C"/>
      </w:pPr>
      <w:r>
        <w:rPr>
          <w:rFonts w:ascii="Calibri" w:hAnsi="Calibri"/>
          <w:b/>
          <w:i w:val="0"/>
          <w:color w:val="FFFFFF"/>
          <w:sz w:val="22"/>
        </w:rPr>
        <w:t xml:space="preserve">  SLIDE 2  —  CASO 86: ¿QUÉ ES?</w:t>
      </w:r>
    </w:p>
    <w:p>
      <w:pPr>
        <w:spacing w:before="280" w:after="80"/>
      </w:pPr>
      <w:r>
        <w:rPr>
          <w:rFonts w:ascii="Calibri" w:hAnsi="Calibri"/>
          <w:b/>
          <w:i w:val="0"/>
          <w:color w:val="1A3A5C"/>
          <w:sz w:val="26"/>
        </w:rPr>
        <w:t>Descripción del esquema</w:t>
      </w:r>
    </w:p>
    <w:p>
      <w:pPr>
        <w:spacing w:before="40" w:after="120"/>
        <w:ind w:left="283"/>
        <w:jc w:val="both"/>
      </w:pPr>
      <w:r>
        <w:rPr>
          <w:rFonts w:ascii="Calibri" w:hAnsi="Calibri"/>
          <w:b w:val="0"/>
          <w:i/>
          <w:color w:val="1C1C1C"/>
          <w:sz w:val="24"/>
        </w:rPr>
        <w:t>El Caso 86 describe la situación de tres socios —A, B y C— que constituyen una sociedad de profesionales D, con participación igualitaria del 33,33% cada uno. El problema central es que solo A presta los servicios profesionales. B y C no tienen ningún rol activo ni aportan valor real a la sociedad. El efecto es que el ingreso que debería tributar íntegramente como renta de segunda categoría de A, se diluye en tres RUT distintos, reduciendo artificialmente su IGC.</w:t>
      </w:r>
    </w:p>
    <w:p>
      <w:pPr>
        <w:spacing w:before="80" w:after="80"/>
      </w:pPr>
      <w:r>
        <w:rPr>
          <w:rFonts w:ascii="Calibri" w:hAnsi="Calibri"/>
          <w:b w:val="0"/>
          <w:i w:val="0"/>
          <w:color w:val="CCCCCC"/>
          <w:sz w:val="14"/>
        </w:rPr>
        <w:t>────────────────────────────────────────────────────────────────────────────────</w:t>
      </w:r>
    </w:p>
    <w:p>
      <w:pPr>
        <w:spacing w:before="360" w:after="40"/>
        <w:shd w:val="clear" w:color="auto" w:fill="1A3A5C"/>
      </w:pPr>
      <w:r>
        <w:rPr>
          <w:rFonts w:ascii="Calibri" w:hAnsi="Calibri"/>
          <w:b/>
          <w:i w:val="0"/>
          <w:color w:val="FFFFFF"/>
          <w:sz w:val="22"/>
        </w:rPr>
        <w:t xml:space="preserve">  SLIDE 7  —  ALTERNATIVAS DE SOLUCIÓN</w:t>
      </w:r>
    </w:p>
    <w:p>
      <w:pPr>
        <w:spacing w:before="280" w:after="80"/>
      </w:pPr>
      <w:r>
        <w:rPr>
          <w:rFonts w:ascii="Calibri" w:hAnsi="Calibri"/>
          <w:b/>
          <w:i w:val="0"/>
          <w:color w:val="1A3A5C"/>
          <w:sz w:val="26"/>
        </w:rPr>
        <w:t>Introducción al bloque</w:t>
      </w:r>
    </w:p>
    <w:p>
      <w:pPr>
        <w:spacing w:before="40" w:after="120"/>
        <w:ind w:left="283"/>
        <w:jc w:val="both"/>
      </w:pPr>
      <w:r>
        <w:rPr>
          <w:rFonts w:ascii="Calibri" w:hAnsi="Calibri"/>
          <w:b w:val="0"/>
          <w:i/>
          <w:color w:val="1C1C1C"/>
          <w:sz w:val="24"/>
        </w:rPr>
        <w:t>Una vez identificado el problema, la pregunta natural es: ¿cómo se organiza esto de manera legítima? El Caso 86 no prohíbe planificar ni usar estructuras societarias — lo que prohíbe es que la forma jurídica tenga como único propósito reducir la carga tributaria sin sustancia económica real detrás. Por eso presentamos cinco alternativas que logran eficiencia tributaria dentro del marco legal, analizando en cada una el impacto tanto en renta como en IVA, porque como verán, la elección del régimen no solo afecta cuánto paga el cliente en impuesto a la renta — también define si sus servicios quedan o no afectos al 19% de IVA.</w:t>
      </w:r>
    </w:p>
    <w:p>
      <w:pPr>
        <w:spacing w:before="280" w:after="80"/>
      </w:pPr>
      <w:r>
        <w:rPr>
          <w:rFonts w:ascii="Calibri" w:hAnsi="Calibri"/>
          <w:b/>
          <w:i w:val="0"/>
          <w:color w:val="1A3A5C"/>
          <w:sz w:val="26"/>
        </w:rPr>
        <w:t>Alternativa 1 — Profesional independiente · Art. 42 N°2 LIR</w:t>
      </w:r>
    </w:p>
    <w:p>
      <w:pPr>
        <w:spacing w:before="40" w:after="120"/>
        <w:ind w:left="283"/>
        <w:jc w:val="both"/>
      </w:pPr>
      <w:r>
        <w:rPr>
          <w:rFonts w:ascii="Calibri" w:hAnsi="Calibri"/>
          <w:b w:val="0"/>
          <w:i/>
          <w:color w:val="1C1C1C"/>
          <w:sz w:val="24"/>
        </w:rPr>
        <w:t>A ejerce directamente como persona natural, emite boletas de honorarios y paga IGC sobre sus ingresos, pudiendo deducir gastos efectivos o la presunción legal del 30%, con tope de 15 UTA al año. La empresa que lo contrata retiene el 12,25% mensual, que se imputa al IGC anual. La ventaja adicional es que los servicios profesionales de personas naturales están expresamente exentos de IVA conforme al Art. 20 del DL 825, por lo que el cliente no paga el 19% adicional.</w:t>
      </w:r>
    </w:p>
    <w:p>
      <w:pPr>
        <w:spacing w:before="280" w:after="80"/>
      </w:pPr>
      <w:r>
        <w:rPr>
          <w:rFonts w:ascii="Calibri" w:hAnsi="Calibri"/>
          <w:b/>
          <w:i w:val="0"/>
          <w:color w:val="1A3A5C"/>
          <w:sz w:val="26"/>
        </w:rPr>
        <w:t>Alternativa 2 — Sociedad de profesionales legítima · Art. 42 N°2 inc. 3°</w:t>
      </w:r>
    </w:p>
    <w:p>
      <w:pPr>
        <w:spacing w:before="40" w:after="120"/>
        <w:ind w:left="283"/>
        <w:jc w:val="both"/>
      </w:pPr>
      <w:r>
        <w:rPr>
          <w:rFonts w:ascii="Calibri" w:hAnsi="Calibri"/>
          <w:b w:val="0"/>
          <w:i/>
          <w:color w:val="1C1C1C"/>
          <w:sz w:val="24"/>
        </w:rPr>
        <w:t>Si B y C efectivamente trabajan en la sociedad, D califica bajo el Art. 42 N°2 y mantiene la exención de IVA mientras su giro sea exclusivamente profesional. En renta, puede optar por segunda categoría —donde los socios pagan IGC directo— o primera categoría con IDPC al 27% imputable como crédito al pagar el IGC.</w:t>
      </w:r>
    </w:p>
    <w:p>
      <w:pPr>
        <w:spacing w:before="280" w:after="80"/>
      </w:pPr>
      <w:r>
        <w:rPr>
          <w:rFonts w:ascii="Calibri" w:hAnsi="Calibri"/>
          <w:b/>
          <w:i w:val="0"/>
          <w:color w:val="1A3A5C"/>
          <w:sz w:val="26"/>
        </w:rPr>
        <w:t>Alternativa 3 — Distribución proporcional al trabajo real</w:t>
      </w:r>
    </w:p>
    <w:p>
      <w:pPr>
        <w:spacing w:before="40" w:after="120"/>
        <w:ind w:left="283"/>
        <w:jc w:val="both"/>
      </w:pPr>
      <w:r>
        <w:rPr>
          <w:rFonts w:ascii="Calibri" w:hAnsi="Calibri"/>
          <w:b w:val="0"/>
          <w:i/>
          <w:color w:val="1C1C1C"/>
          <w:sz w:val="24"/>
        </w:rPr>
        <w:t>Se mantiene la misma sociedad, pero los estatutos reflejan el aporte real de cada socio —por ejemplo 90% para A— o se asigna un sueldo patronal a A previo al reparto. El tratamiento de IVA y renta es idéntico a la alternativa anterior, con la diferencia de que la carga tributaria queda correctamente radicada en quien genera el ingreso.</w:t>
      </w:r>
    </w:p>
    <w:p>
      <w:pPr>
        <w:spacing w:before="280" w:after="80"/>
      </w:pPr>
      <w:r>
        <w:rPr>
          <w:rFonts w:ascii="Calibri" w:hAnsi="Calibri"/>
          <w:b/>
          <w:i w:val="0"/>
          <w:color w:val="1A3A5C"/>
          <w:sz w:val="26"/>
        </w:rPr>
        <w:t>Alternativa 4 — SpA · Régimen Pro Pyme · Art. 14 D N°3 LIR</w:t>
      </w:r>
    </w:p>
    <w:p>
      <w:pPr>
        <w:spacing w:before="40" w:after="120"/>
        <w:ind w:left="283"/>
        <w:jc w:val="both"/>
      </w:pPr>
      <w:r>
        <w:rPr>
          <w:rFonts w:ascii="Calibri" w:hAnsi="Calibri"/>
          <w:b w:val="0"/>
          <w:i/>
          <w:color w:val="1C1C1C"/>
          <w:sz w:val="24"/>
        </w:rPr>
        <w:t>La SpA paga IDPC al 25% y los socios tributan con IGC solo sobre los retiros efectivos, lo que permite diferir la tributación reinvirtiendo utilidades en la empresa. El punto crítico es que al salir del Art. 42 N°2 se pierde la exención de IVA: los servicios quedan afectos al 19%, lo que puede encarecer la oferta al cliente. Este punto hay que analizarlo siempre antes de recomendar esta estructura.</w:t>
      </w:r>
    </w:p>
    <w:p>
      <w:pPr>
        <w:spacing w:before="280" w:after="80"/>
      </w:pPr>
      <w:r>
        <w:rPr>
          <w:rFonts w:ascii="Calibri" w:hAnsi="Calibri"/>
          <w:b/>
          <w:i w:val="0"/>
          <w:color w:val="1A3A5C"/>
          <w:sz w:val="26"/>
        </w:rPr>
        <w:t>Alternativa 5 — Régimen Pro Pyme Transparente · Art. 14 D N°8 LIR</w:t>
      </w:r>
    </w:p>
    <w:p>
      <w:pPr>
        <w:spacing w:before="40" w:after="120"/>
        <w:ind w:left="283"/>
        <w:jc w:val="both"/>
      </w:pPr>
      <w:r>
        <w:rPr>
          <w:rFonts w:ascii="Calibri" w:hAnsi="Calibri"/>
          <w:b w:val="0"/>
          <w:i/>
          <w:color w:val="1C1C1C"/>
          <w:sz w:val="24"/>
        </w:rPr>
        <w:t>La empresa no paga IDPC y los socios tributan directamente con IGC sobre su participación en los resultados del ejercicio, sin doble tributación. Sin embargo, también queda afecta al 19% de IVA igual que la SpA anterior. Esta alternativa conviene cuando los clientes son empresas que pueden usar ese IVA como crédito fiscal; si atienden a personas naturales, el IVA es un costo real que hay que evaluar.</w:t>
      </w:r>
    </w:p>
    <w:p>
      <w:pPr>
        <w:spacing w:before="280" w:after="80"/>
      </w:pPr>
      <w:r>
        <w:rPr>
          <w:rFonts w:ascii="Calibri" w:hAnsi="Calibri"/>
          <w:b/>
          <w:i w:val="0"/>
          <w:color w:val="1A3A5C"/>
          <w:sz w:val="26"/>
        </w:rPr>
        <w:t>Cierre del bloque — Cuadro comparativo</w:t>
      </w:r>
    </w:p>
    <w:p>
      <w:pPr>
        <w:spacing w:before="40" w:after="120"/>
        <w:ind w:left="283"/>
        <w:jc w:val="both"/>
      </w:pPr>
      <w:r>
        <w:rPr>
          <w:rFonts w:ascii="Calibri" w:hAnsi="Calibri"/>
          <w:b w:val="0"/>
          <w:i/>
          <w:color w:val="1C1C1C"/>
          <w:sz w:val="24"/>
        </w:rPr>
        <w:t>En resumen: las alternativas 1, 2 y 3 mantienen la exención de IVA y son las más eficientes cuando se atiende a personas naturales. Las alternativas 4 y 5 ofrecen mayor flexibilidad en renta, pero pierden esa exención. La recomendación del Grupo 4 es que no existe una alternativa universalmente mejor — la elección depende del perfil del cliente y de quién soporta el IVA en la cadena.</w:t>
      </w:r>
    </w:p>
    <w:p>
      <w:pPr>
        <w:spacing w:before="40" w:after="80"/>
        <w:ind w:left="283"/>
      </w:pPr>
      <w:r>
        <w:rPr>
          <w:rFonts w:ascii="Calibri" w:hAnsi="Calibri"/>
          <w:b w:val="0"/>
          <w:i/>
          <w:color w:val="555555"/>
          <w:sz w:val="19"/>
        </w:rPr>
        <w:t>[Tiempo estimado de este bloque: 8-10 minutos]</w:t>
      </w:r>
    </w:p>
    <w:p>
      <w:pPr>
        <w:spacing w:before="80" w:after="80"/>
      </w:pPr>
      <w:r>
        <w:rPr>
          <w:rFonts w:ascii="Calibri" w:hAnsi="Calibri"/>
          <w:b w:val="0"/>
          <w:i w:val="0"/>
          <w:color w:val="CCCCCC"/>
          <w:sz w:val="14"/>
        </w:rPr>
        <w: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