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rFonts w:ascii="Times New Roman" w:hAnsi="Times New Roman"/>
          <w:b/>
          <w:color w:val="000000"/>
          <w:sz w:val="26"/>
        </w:rPr>
        <w:t>MAGÍSTER EN DIRECCIÓN TRIBUTARIA</w:t>
      </w:r>
    </w:p>
    <w:p>
      <w:pPr>
        <w:spacing w:after="80"/>
        <w:jc w:val="center"/>
      </w:pPr>
      <w:r>
        <w:rPr>
          <w:rFonts w:ascii="Times New Roman" w:hAnsi="Times New Roman"/>
          <w:color w:val="000000"/>
          <w:sz w:val="24"/>
        </w:rPr>
        <w:t>Universidad Viña del Mar</w:t>
      </w:r>
    </w:p>
    <w:p>
      <w:pPr>
        <w:spacing w:after="80"/>
        <w:jc w:val="center"/>
      </w:pPr>
      <w:r>
        <w:rPr>
          <w:rFonts w:ascii="Times New Roman" w:hAnsi="Times New Roman"/>
          <w:color w:val="000000"/>
          <w:sz w:val="24"/>
        </w:rPr>
        <w:t>Tributación Sectorial</w:t>
      </w:r>
    </w:p>
    <w:p>
      <w:pPr>
        <w:spacing w:after="80"/>
        <w:jc w:val="center"/>
      </w:pPr>
      <w:r>
        <w:rPr>
          <w:rFonts w:ascii="Times New Roman" w:hAnsi="Times New Roman"/>
          <w:color w:val="000000"/>
          <w:sz w:val="24"/>
        </w:rPr>
        <w:t>Profesora: Ximena Niño Roa</w:t>
      </w:r>
    </w:p>
    <w:p/>
    <w:p>
      <w:pPr>
        <w:spacing w:after="80"/>
        <w:jc w:val="center"/>
      </w:pPr>
      <w:r>
        <w:rPr>
          <w:rFonts w:ascii="Times New Roman" w:hAnsi="Times New Roman"/>
          <w:b/>
          <w:color w:val="000000"/>
          <w:sz w:val="30"/>
        </w:rPr>
        <w:t>CASO 2 — TRABAJO INDIVIDUAL</w:t>
      </w:r>
    </w:p>
    <w:p>
      <w:pPr>
        <w:spacing w:after="80"/>
        <w:jc w:val="center"/>
      </w:pPr>
      <w:r>
        <w:rPr>
          <w:rFonts w:ascii="Times New Roman" w:hAnsi="Times New Roman"/>
          <w:color w:val="000000"/>
          <w:sz w:val="24"/>
        </w:rPr>
        <w:t>Concesiones de Obras de Uso Público — Tratamiento Tributario de Pagos Especiales</w:t>
      </w:r>
    </w:p>
    <w:p/>
    <w:p>
      <w:pPr>
        <w:spacing w:after="80"/>
        <w:jc w:val="center"/>
      </w:pPr>
      <w:r>
        <w:rPr>
          <w:rFonts w:ascii="Times New Roman" w:hAnsi="Times New Roman"/>
          <w:b/>
          <w:color w:val="000000"/>
          <w:sz w:val="24"/>
        </w:rPr>
        <w:t>Alumno: Nicolás Muñoz Valdebenito</w:t>
      </w:r>
    </w:p>
    <w:p>
      <w:pPr>
        <w:spacing w:after="80"/>
        <w:jc w:val="center"/>
      </w:pPr>
      <w:r>
        <w:rPr>
          <w:rFonts w:ascii="Times New Roman" w:hAnsi="Times New Roman"/>
          <w:color w:val="000000"/>
          <w:sz w:val="24"/>
        </w:rPr>
        <w:t>Enero 2026</w:t>
      </w:r>
    </w:p>
    <w:p>
      <w:r>
        <w:br w:type="page"/>
      </w:r>
    </w:p>
    <w:p>
      <w:pPr>
        <w:spacing w:before="240" w:after="80"/>
      </w:pPr>
      <w:r>
        <w:rPr>
          <w:rFonts w:ascii="Times New Roman" w:hAnsi="Times New Roman"/>
          <w:b/>
          <w:color w:val="000000"/>
          <w:sz w:val="28"/>
        </w:rPr>
        <w:t>INTRODUCCIÓN</w:t>
      </w:r>
    </w:p>
    <w:p>
      <w:pPr>
        <w:spacing w:before="80" w:after="80"/>
        <w:pBdr>
          <w:bottom w:val="single" w:sz="4" w:space="1" w:color="000000"/>
        </w:pBdr>
      </w:pPr>
    </w:p>
    <w:p>
      <w:pPr>
        <w:spacing w:before="120" w:after="120"/>
        <w:jc w:val="both"/>
      </w:pPr>
      <w:r>
        <w:rPr>
          <w:rFonts w:ascii="Times New Roman" w:hAnsi="Times New Roman"/>
          <w:b w:val="0"/>
          <w:i w:val="0"/>
          <w:color w:val="000000"/>
          <w:sz w:val="24"/>
        </w:rPr>
        <w:t>Las concesiones de obras de uso público constituyen una modalidad de financiamiento de infraestructura mediante la cual el Estado encomienda a privados la construcción, conservación, reparación y explotación de obras públicas, a cambio de otorgarles el derecho temporal a explotar dichas obras. En Chile, este sistema se rige por la Ley de Concesiones N°19.460 de 1996, el Decreto MOP N°900 y su Reglamento contenido en el D.S. N°956 de 1997.</w:t>
      </w:r>
    </w:p>
    <w:p>
      <w:pPr>
        <w:spacing w:before="0" w:after="120"/>
        <w:jc w:val="both"/>
      </w:pPr>
      <w:r>
        <w:rPr>
          <w:rFonts w:ascii="Times New Roman" w:hAnsi="Times New Roman"/>
          <w:b w:val="0"/>
          <w:i w:val="0"/>
          <w:color w:val="000000"/>
          <w:sz w:val="24"/>
        </w:rPr>
        <w:t>Desde el punto de vista tributario, la normativa aplicable comprende principalmente el artículo 15 de la Ley sobre Impuesto a la Renta (LIR), la Circular N°49 de 2006 del SII para efectos del impuesto a la renta, y los artículos 16 letras c) y h) y 55 del Decreto Ley N°825 (LIVS), en conjunto con la Circular N°44 de 2006, para efectos del Impuesto al Valor Agregado (IVA).</w:t>
      </w:r>
    </w:p>
    <w:p>
      <w:pPr>
        <w:spacing w:before="0" w:after="120"/>
        <w:jc w:val="both"/>
      </w:pPr>
      <w:r>
        <w:rPr>
          <w:rFonts w:ascii="Times New Roman" w:hAnsi="Times New Roman"/>
          <w:b w:val="0"/>
          <w:i w:val="0"/>
          <w:color w:val="000000"/>
          <w:sz w:val="24"/>
        </w:rPr>
        <w:t>El Concesionario desarrolla fundamentalmente dos tipos de actividades: (i) la construcción de una obra civil en terrenos de propiedad fiscal, que constituye un contrato general de construcción; y (ii) las labores de conservación, reparación y explotación de la obra, que configuran un contrato de servicios mediante la utilización de bienes ajenos. Ambas actividades tienen tratamientos tributarios distintos que la normativa regula en detalle.</w:t>
      </w:r>
    </w:p>
    <w:p>
      <w:pPr>
        <w:spacing w:before="0" w:after="120"/>
        <w:jc w:val="both"/>
      </w:pPr>
      <w:r>
        <w:rPr>
          <w:rFonts w:ascii="Times New Roman" w:hAnsi="Times New Roman"/>
          <w:b w:val="0"/>
          <w:i w:val="0"/>
          <w:color w:val="000000"/>
          <w:sz w:val="24"/>
        </w:rPr>
        <w:t>El presente trabajo analiza el tratamiento frente al impuesto a la renta y al IVA de pagos especiales que surgen en el marco de los contratos de concesión, específicamente: los premios, las indemnizaciones, el ingreso mínimo garantizado, y los pagos por concepto de expropiaciones.</w:t>
      </w:r>
    </w:p>
    <w:p>
      <w:pPr>
        <w:spacing w:before="240" w:after="80"/>
      </w:pPr>
      <w:r>
        <w:rPr>
          <w:rFonts w:ascii="Times New Roman" w:hAnsi="Times New Roman"/>
          <w:b/>
          <w:color w:val="000000"/>
          <w:sz w:val="28"/>
        </w:rPr>
        <w:t>1. TRATAMIENTO TRIBUTARIO DE LOS PAGOS QUE SURGEN EN LAS CONCESIONES DE USO PÚBLICO</w:t>
      </w:r>
    </w:p>
    <w:p>
      <w:pPr>
        <w:spacing w:before="80" w:after="80"/>
        <w:pBdr>
          <w:bottom w:val="single" w:sz="4" w:space="1" w:color="000000"/>
        </w:pBdr>
      </w:pPr>
    </w:p>
    <w:p>
      <w:pPr>
        <w:spacing w:before="120" w:after="120"/>
        <w:jc w:val="both"/>
      </w:pPr>
      <w:r>
        <w:rPr>
          <w:rFonts w:ascii="Times New Roman" w:hAnsi="Times New Roman"/>
          <w:b w:val="0"/>
          <w:i w:val="0"/>
          <w:color w:val="000000"/>
          <w:sz w:val="24"/>
        </w:rPr>
        <w:t>Como norma general, reconocida en la jurisprudencia administrativa del SII y en la presentación de la profesora Ximena Niño (Concesiones de Obras de Uso Público, enero 2026), cualquier pago que el Fisco deba hacer al Concesionario para cumplir lo convenido en el contrato de concesión, conformará también el precio de la convención afecta a impuesto. La única excepción a esta regla general corresponde a los pagos que el Fisco efectúe para solucionar indemnizaciones de perjuicios pactadas en una cláusula penal, cuyo tratamiento se analiza por separado.</w:t>
      </w:r>
    </w:p>
    <w:p>
      <w:pPr>
        <w:spacing w:before="240" w:after="80"/>
      </w:pPr>
      <w:r>
        <w:rPr>
          <w:rFonts w:ascii="Times New Roman" w:hAnsi="Times New Roman"/>
          <w:b/>
          <w:color w:val="000000"/>
          <w:sz w:val="26"/>
        </w:rPr>
        <w:t>a) Premios que paga la autoridad concedente al concesionario</w:t>
      </w:r>
    </w:p>
    <w:p>
      <w:pPr>
        <w:spacing w:before="120" w:after="120"/>
        <w:jc w:val="both"/>
      </w:pPr>
      <w:r>
        <w:rPr>
          <w:rFonts w:ascii="Times New Roman" w:hAnsi="Times New Roman"/>
          <w:b/>
          <w:i w:val="0"/>
          <w:color w:val="000000"/>
          <w:sz w:val="24"/>
        </w:rPr>
        <w:t>Tratamiento frente al Impuesto a la Renta:</w:t>
      </w:r>
    </w:p>
    <w:p>
      <w:pPr>
        <w:spacing w:before="0" w:after="120"/>
        <w:jc w:val="both"/>
      </w:pPr>
      <w:r>
        <w:rPr>
          <w:rFonts w:ascii="Times New Roman" w:hAnsi="Times New Roman"/>
          <w:b w:val="0"/>
          <w:i w:val="0"/>
          <w:color w:val="000000"/>
          <w:sz w:val="24"/>
        </w:rPr>
        <w:t>Las cantidades que el Fisco paga al Concesionario por concepto de premios constituyen para éste un mayor ingreso bruto afecto a los impuestos generales de la Ley sobre Impuesto a la Renta. Así lo establece expresamente la Circular N°49 de 2006 del SII y lo instruye la presentación de la relatora del curso.</w:t>
      </w:r>
    </w:p>
    <w:p>
      <w:pPr>
        <w:spacing w:before="0" w:after="120"/>
        <w:jc w:val="both"/>
      </w:pPr>
      <w:r>
        <w:rPr>
          <w:rFonts w:ascii="Times New Roman" w:hAnsi="Times New Roman"/>
          <w:b w:val="0"/>
          <w:i w:val="0"/>
          <w:color w:val="000000"/>
          <w:sz w:val="24"/>
        </w:rPr>
        <w:t>En consecuencia, dichas sumas deben incorporarse a los ingresos brutos del ejercicio en que sean percibidos o devengados por el Concesionario, quedando afectos al Impuesto de Primera Categoría (IDPC) conforme a las normas generales del artículo 20 de la LIR. Lo anterior se funda en que los premios implican un incremento patrimonial que no se encuentra expresamente excluido de renta por el artículo 17 de la LIR, y que tiene su origen directo en la ejecución del contrato de concesión.</w:t>
      </w:r>
    </w:p>
    <w:p>
      <w:pPr>
        <w:spacing w:before="0" w:after="120"/>
        <w:jc w:val="both"/>
      </w:pPr>
      <w:r>
        <w:rPr>
          <w:rFonts w:ascii="Times New Roman" w:hAnsi="Times New Roman"/>
          <w:b w:val="0"/>
          <w:i w:val="0"/>
          <w:color w:val="000000"/>
          <w:sz w:val="24"/>
        </w:rPr>
        <w:t>Cabe destacar que estos ingresos forman parte de los ingresos brutos por servicios de conservación, reparación y explotación de la obra, cuya base imponible para efectos del impuesto a la renta se determina conforme al artículo 15 de la LIR y las instrucciones de la Circular N°49 de 2006, deduciendo del total percibido la cuota de amortización del costo de construcción imputable al ejercicio respectivo.</w:t>
      </w:r>
    </w:p>
    <w:p>
      <w:pPr>
        <w:spacing w:before="80" w:after="120"/>
        <w:jc w:val="both"/>
      </w:pPr>
      <w:r>
        <w:rPr>
          <w:rFonts w:ascii="Times New Roman" w:hAnsi="Times New Roman"/>
          <w:b/>
          <w:i w:val="0"/>
          <w:color w:val="000000"/>
          <w:sz w:val="24"/>
        </w:rPr>
        <w:t>Tratamiento frente al IVA:</w:t>
      </w:r>
    </w:p>
    <w:p>
      <w:pPr>
        <w:spacing w:before="0" w:after="120"/>
        <w:jc w:val="both"/>
      </w:pPr>
      <w:r>
        <w:rPr>
          <w:rFonts w:ascii="Times New Roman" w:hAnsi="Times New Roman"/>
          <w:b w:val="0"/>
          <w:i w:val="0"/>
          <w:color w:val="000000"/>
          <w:sz w:val="24"/>
        </w:rPr>
        <w:t>Desde el punto de vista del IVA, en la medida en que los premios pagados por la autoridad concedente constituyan una contraprestación asociada a la prestación de los servicios comprendidos en el contrato de concesión —vale decir, un mayor precio por los servicios de conservación, reparación y explotación de la obra—, dichos montos integran la base imponible del IVA conforme a lo dispuesto en los artículos 16 letras c) y h) del DL 825, y las instrucciones de la Circular N°44 de 2006 del SII.</w:t>
      </w:r>
    </w:p>
    <w:p>
      <w:pPr>
        <w:spacing w:before="0" w:after="120"/>
        <w:jc w:val="both"/>
      </w:pPr>
      <w:r>
        <w:rPr>
          <w:rFonts w:ascii="Times New Roman" w:hAnsi="Times New Roman"/>
          <w:b w:val="0"/>
          <w:i w:val="0"/>
          <w:color w:val="000000"/>
          <w:sz w:val="24"/>
        </w:rPr>
        <w:t>En este esquema, la base imponible del IVA de los servicios de explotación está constituida por el total de los ingresos obtenidos, deduciendo la proporción que deba imputarse al pago del precio de la construcción de la obra —que ya fue facturado y tributado en la etapa de construcción—. Por lo tanto, si el premio integra el precio total de los servicios concesionados, el concesionario deberá emitir la factura correspondiente incluyendo dicho monto en la base imponible del tributo.</w:t>
      </w:r>
    </w:p>
    <w:p>
      <w:pPr>
        <w:spacing w:before="240" w:after="80"/>
      </w:pPr>
      <w:r>
        <w:rPr>
          <w:rFonts w:ascii="Times New Roman" w:hAnsi="Times New Roman"/>
          <w:b/>
          <w:color w:val="000000"/>
          <w:sz w:val="26"/>
        </w:rPr>
        <w:t>b) Indemnizaciones que paga la autoridad concedente al concesionario</w:t>
      </w:r>
    </w:p>
    <w:p>
      <w:pPr>
        <w:spacing w:before="120" w:after="120"/>
        <w:jc w:val="both"/>
      </w:pPr>
      <w:r>
        <w:rPr>
          <w:rFonts w:ascii="Times New Roman" w:hAnsi="Times New Roman"/>
          <w:b/>
          <w:i w:val="0"/>
          <w:color w:val="000000"/>
          <w:sz w:val="24"/>
        </w:rPr>
        <w:t>Tratamiento frente al Impuesto a la Renta:</w:t>
      </w:r>
    </w:p>
    <w:p>
      <w:pPr>
        <w:spacing w:before="0" w:after="120"/>
        <w:jc w:val="both"/>
      </w:pPr>
      <w:r>
        <w:rPr>
          <w:rFonts w:ascii="Times New Roman" w:hAnsi="Times New Roman"/>
          <w:b w:val="0"/>
          <w:i w:val="0"/>
          <w:color w:val="000000"/>
          <w:sz w:val="24"/>
        </w:rPr>
        <w:t>Las indemnizaciones que el Fisco pague al Concesionario —en especial aquellas derivadas de la resolución o terminación anticipada del contrato de concesión— constituyen renta para efectos tributarios, en la medida en que impliquen un incremento patrimonial para su beneficiario. La Circular N°49 de 2006 del SII y la presentación de la profesora instructora del curso son explícitas al respecto: "Las indemnizaciones que el Fisco pague al Concesionario por resolución anticipada de la concesión, teniendo presente que los Concesionarios son empresas que declaran la renta efectiva en la Primera Categoría, constituyen renta para los efectos tributarios."</w:t>
      </w:r>
    </w:p>
    <w:p>
      <w:pPr>
        <w:spacing w:before="0" w:after="120"/>
        <w:jc w:val="both"/>
      </w:pPr>
      <w:r>
        <w:rPr>
          <w:rFonts w:ascii="Times New Roman" w:hAnsi="Times New Roman"/>
          <w:b w:val="0"/>
          <w:i w:val="0"/>
          <w:color w:val="000000"/>
          <w:sz w:val="24"/>
        </w:rPr>
        <w:t>Lo anterior se sustenta en que el artículo 17 de la LIR, que excluye ciertas indemnizaciones del concepto de renta, no contempla a este tipo de pagos dentro de las exclusiones taxativas que establece. En consecuencia, estos montos deben incorporarse a los ingresos brutos del concesionario y quedan afectos al IDPC.</w:t>
      </w:r>
    </w:p>
    <w:p>
      <w:pPr>
        <w:spacing w:before="0" w:after="120"/>
        <w:jc w:val="both"/>
      </w:pPr>
      <w:r>
        <w:rPr>
          <w:rFonts w:ascii="Times New Roman" w:hAnsi="Times New Roman"/>
          <w:b w:val="0"/>
          <w:i w:val="0"/>
          <w:color w:val="000000"/>
          <w:sz w:val="24"/>
        </w:rPr>
        <w:t>Sin perjuicio de lo anterior, el Concesionario podrá rebajar como gasto, conforme al artículo 31 de la LIR, aquella parte de la indemnización que corresponda al daño emergente efectivamente sufrido en su patrimonio, en la medida en que se acredite que dicho monto tiene por único objeto restituir una pérdida patrimonial real y debidamente documentada. El lucro cesante, en cambio, no tiene este tratamiento y queda gravado íntegramente.</w:t>
      </w:r>
    </w:p>
    <w:p>
      <w:pPr>
        <w:spacing w:before="80" w:after="120"/>
        <w:jc w:val="both"/>
      </w:pPr>
      <w:r>
        <w:rPr>
          <w:rFonts w:ascii="Times New Roman" w:hAnsi="Times New Roman"/>
          <w:b/>
          <w:i w:val="0"/>
          <w:color w:val="000000"/>
          <w:sz w:val="24"/>
        </w:rPr>
        <w:t>Tratamiento frente al IVA:</w:t>
      </w:r>
    </w:p>
    <w:p>
      <w:pPr>
        <w:spacing w:before="0" w:after="120"/>
        <w:jc w:val="both"/>
      </w:pPr>
      <w:r>
        <w:rPr>
          <w:rFonts w:ascii="Times New Roman" w:hAnsi="Times New Roman"/>
          <w:b w:val="0"/>
          <w:i w:val="0"/>
          <w:color w:val="000000"/>
          <w:sz w:val="24"/>
        </w:rPr>
        <w:t>Las indemnizaciones que la autoridad concedente pague al Concesionario no se encuentran afectas a IVA, por cuanto no constituyen una remuneración o precio por la prestación de un servicio, sino que corresponden a una compensación por el perjuicio patrimonial sufrido con motivo de la terminación anticipada o modificación del contrato de concesión. En tal sentido, no se configura el hecho gravado básico del IVA contemplado en los artículos 2° y 8° del DL 825, ya que no existe una convención que transfiera bienes ni una remuneración por servicios prestados a la que se asocie dicho pago.</w:t>
      </w:r>
    </w:p>
    <w:p>
      <w:pPr>
        <w:spacing w:before="0" w:after="120"/>
        <w:jc w:val="both"/>
      </w:pPr>
      <w:r>
        <w:rPr>
          <w:rFonts w:ascii="Times New Roman" w:hAnsi="Times New Roman"/>
          <w:b w:val="0"/>
          <w:i w:val="0"/>
          <w:color w:val="000000"/>
          <w:sz w:val="24"/>
        </w:rPr>
        <w:t>Esta conclusión es consistente con la jurisprudencia administrativa del SII, que distingue entre pagos que forman parte del precio de la convención —afectos a IVA— y pagos que tienen por objeto solucionar indemnizaciones de perjuicios, que quedan fuera del hecho gravado. La excepción, que confirma la regla, es precisamente la cláusula penal: el pago efectuado en virtud de ella no forma parte del precio ni queda afecto al tributo.</w:t>
      </w:r>
    </w:p>
    <w:p>
      <w:pPr>
        <w:spacing w:before="240" w:after="80"/>
      </w:pPr>
      <w:r>
        <w:rPr>
          <w:rFonts w:ascii="Times New Roman" w:hAnsi="Times New Roman"/>
          <w:b/>
          <w:color w:val="000000"/>
          <w:sz w:val="26"/>
        </w:rPr>
        <w:t>c) Ingreso mínimo garantizado</w:t>
      </w:r>
    </w:p>
    <w:p>
      <w:pPr>
        <w:spacing w:before="120" w:after="120"/>
        <w:jc w:val="both"/>
      </w:pPr>
      <w:r>
        <w:rPr>
          <w:rFonts w:ascii="Times New Roman" w:hAnsi="Times New Roman"/>
          <w:b/>
          <w:i w:val="0"/>
          <w:color w:val="000000"/>
          <w:sz w:val="24"/>
        </w:rPr>
        <w:t>Tratamiento frente al Impuesto a la Renta:</w:t>
      </w:r>
    </w:p>
    <w:p>
      <w:pPr>
        <w:spacing w:before="0" w:after="120"/>
        <w:jc w:val="both"/>
      </w:pPr>
      <w:r>
        <w:rPr>
          <w:rFonts w:ascii="Times New Roman" w:hAnsi="Times New Roman"/>
          <w:b w:val="0"/>
          <w:i w:val="0"/>
          <w:color w:val="000000"/>
          <w:sz w:val="24"/>
        </w:rPr>
        <w:t>El ingreso mínimo garantizado (IMG) es una garantía otorgada por el Estado al Concesionario consistente en que, cuando los ingresos efectivos de la explotación no alcancen un umbral mínimo previamente establecido en el contrato de concesión, el Fisco se obliga a complementar la diferencia hasta completar dicho nivel mínimo. Su propósito es reducir el riesgo de demanda que asume el inversionista privado.</w:t>
      </w:r>
    </w:p>
    <w:p>
      <w:pPr>
        <w:spacing w:before="0" w:after="120"/>
        <w:jc w:val="both"/>
      </w:pPr>
      <w:r>
        <w:rPr>
          <w:rFonts w:ascii="Times New Roman" w:hAnsi="Times New Roman"/>
          <w:b w:val="0"/>
          <w:i w:val="0"/>
          <w:color w:val="000000"/>
          <w:sz w:val="24"/>
        </w:rPr>
        <w:t>Desde el punto de vista tributario, las sumas que el Fisco se obliga a pagar al Concesionario en virtud del ingreso mínimo garantizado constituyen un mayor precio o mayor pago de los servicios que comprende el contrato de concesión. En consecuencia, deben formar parte de los ingresos brutos del Concesionario para el cumplimiento de sus obligaciones tributarias frente al IDPC. Así lo instruye expresamente la Circular N°49 de 2006 del SII: "Las sumas que el Fisco se obliga a pagar al Concesionario por alcanzar niveles de ingresos mínimos establecidos previamente por la explotación de la obra, constituyen para éste un mayor pago o precio de los servicios que comprende el contrato de concesión, y por lo tanto, deben formar parte de los ingresos brutos para el cumplimiento de sus obligaciones tributarias."</w:t>
      </w:r>
    </w:p>
    <w:p>
      <w:pPr>
        <w:spacing w:before="0" w:after="120"/>
        <w:jc w:val="both"/>
      </w:pPr>
      <w:r>
        <w:rPr>
          <w:rFonts w:ascii="Times New Roman" w:hAnsi="Times New Roman"/>
          <w:b w:val="0"/>
          <w:i w:val="0"/>
          <w:color w:val="000000"/>
          <w:sz w:val="24"/>
        </w:rPr>
        <w:t>Estos ingresos se devengan en el ejercicio en que el derecho al cobro se hace exigible, conforme a los términos del contrato de concesión. El tratamiento tributario es análogo al de cualquier otro ingreso proveniente de la explotación de la concesión, siendo la base imponible del IDPC la diferencia entre el total percibido y la cuota de amortización del costo de construcción que corresponda al período.</w:t>
      </w:r>
    </w:p>
    <w:p>
      <w:pPr>
        <w:spacing w:before="80" w:after="120"/>
        <w:jc w:val="both"/>
      </w:pPr>
      <w:r>
        <w:rPr>
          <w:rFonts w:ascii="Times New Roman" w:hAnsi="Times New Roman"/>
          <w:b/>
          <w:i w:val="0"/>
          <w:color w:val="000000"/>
          <w:sz w:val="24"/>
        </w:rPr>
        <w:t>Tratamiento frente al IVA:</w:t>
      </w:r>
    </w:p>
    <w:p>
      <w:pPr>
        <w:spacing w:before="0" w:after="120"/>
        <w:jc w:val="both"/>
      </w:pPr>
      <w:r>
        <w:rPr>
          <w:rFonts w:ascii="Times New Roman" w:hAnsi="Times New Roman"/>
          <w:b w:val="0"/>
          <w:i w:val="0"/>
          <w:color w:val="000000"/>
          <w:sz w:val="24"/>
        </w:rPr>
        <w:t>Al constituir el ingreso mínimo garantizado un mayor precio de los servicios concesionados, este pago integra la base imponible del IVA conforme a los artículos 16 letras c) y h) del DL 825, en los mismos términos que los demás ingresos provenientes de la explotación de la obra, de acuerdo con las instrucciones de la Circular N°44 de 2006 del SII.</w:t>
      </w:r>
    </w:p>
    <w:p>
      <w:pPr>
        <w:spacing w:before="0" w:after="120"/>
        <w:jc w:val="both"/>
      </w:pPr>
      <w:r>
        <w:rPr>
          <w:rFonts w:ascii="Times New Roman" w:hAnsi="Times New Roman"/>
          <w:b w:val="0"/>
          <w:i w:val="0"/>
          <w:color w:val="000000"/>
          <w:sz w:val="24"/>
        </w:rPr>
        <w:t>En consecuencia, el Concesionario deberá emitir la factura correspondiente al Ministerio de Obras Públicas o a la autoridad concedente dentro del mes en que perciba dicho ingreso, aplicando la base imponible correspondiente a la proporción de los ingresos asignada a los servicios de conservación, reparación y explotación —habitualmente el 20% del total percibido, descontada la parte que se imputa al pago del precio de la construcción—, sobre la cual se aplicará la tasa de IVA vigente.</w:t>
      </w:r>
    </w:p>
    <w:p>
      <w:pPr>
        <w:spacing w:before="0" w:after="120"/>
        <w:jc w:val="both"/>
      </w:pPr>
      <w:r>
        <w:rPr>
          <w:rFonts w:ascii="Times New Roman" w:hAnsi="Times New Roman"/>
          <w:b w:val="0"/>
          <w:i w:val="0"/>
          <w:color w:val="000000"/>
          <w:sz w:val="24"/>
        </w:rPr>
        <w:t>Es importante tener en cuenta que la fracción del ingreso mínimo garantizado que corresponda a la amortización del costo de construcción —el porcentaje habitualmente acordado es el 80%— no se encontrará gravada con IVA, por haberse ya tributado con dicho impuesto en la etapa de construcción al momento de emitirse los estados de pago correspondientes.</w:t>
      </w:r>
    </w:p>
    <w:p>
      <w:pPr>
        <w:spacing w:before="240" w:after="80"/>
      </w:pPr>
      <w:r>
        <w:rPr>
          <w:rFonts w:ascii="Times New Roman" w:hAnsi="Times New Roman"/>
          <w:b/>
          <w:color w:val="000000"/>
          <w:sz w:val="28"/>
        </w:rPr>
        <w:t>2. TRATAMIENTO FRENTE AL IMPUESTO A LA RENTA DE LOS PAGOS POR EXPROPIACIONES</w:t>
      </w:r>
    </w:p>
    <w:p>
      <w:pPr>
        <w:spacing w:before="80" w:after="80"/>
        <w:pBdr>
          <w:bottom w:val="single" w:sz="4" w:space="1" w:color="000000"/>
        </w:pBdr>
      </w:pPr>
    </w:p>
    <w:p>
      <w:pPr>
        <w:spacing w:before="120" w:after="120"/>
        <w:jc w:val="both"/>
      </w:pPr>
      <w:r>
        <w:rPr>
          <w:rFonts w:ascii="Times New Roman" w:hAnsi="Times New Roman"/>
          <w:b w:val="0"/>
          <w:i w:val="0"/>
          <w:color w:val="000000"/>
          <w:sz w:val="24"/>
        </w:rPr>
        <w:t>En el marco de los contratos de concesión de obras de uso público, el Concesionario puede verse en la necesidad de incurrir en desembolsos por concepto de expropiaciones, uso de infraestructura preexistente, supervisión y control, estudios efectuados por el Fisco, y administración del contrato. El tratamiento tributario de estos pagos frente al impuesto a la renta depende de la etapa del proyecto en que se efectúen.</w:t>
      </w:r>
    </w:p>
    <w:p>
      <w:pPr>
        <w:spacing w:before="240" w:after="80"/>
      </w:pPr>
      <w:r>
        <w:rPr>
          <w:rFonts w:ascii="Times New Roman" w:hAnsi="Times New Roman"/>
          <w:b/>
          <w:color w:val="000000"/>
          <w:sz w:val="24"/>
        </w:rPr>
        <w:t>a) Pagos efectuados durante la etapa de construcción</w:t>
      </w:r>
    </w:p>
    <w:p>
      <w:pPr>
        <w:spacing w:before="120" w:after="120"/>
        <w:jc w:val="both"/>
      </w:pPr>
      <w:r>
        <w:rPr>
          <w:rFonts w:ascii="Times New Roman" w:hAnsi="Times New Roman"/>
          <w:b w:val="0"/>
          <w:i w:val="0"/>
          <w:color w:val="000000"/>
          <w:sz w:val="24"/>
        </w:rPr>
        <w:t>Los pagos que el Concesionario realiza al Estado —incluidas las expropiaciones— con anterioridad a la explotación de la obra y que son necesarios para su construcción, forman parte del costo de construcción de la obra. Ello es así porque el artículo 15 de la LIR establece que el ingreso tributario del Concesionario en la etapa de construcción es equivalente al costo total incurrido en dicha etapa —esto es, Ingreso Tributario = Costo Tributario—, el que se devenga en el ejercicio en que se inicia la explotación efectiva de la obra.</w:t>
      </w:r>
    </w:p>
    <w:p>
      <w:pPr>
        <w:spacing w:before="0" w:after="120"/>
        <w:jc w:val="both"/>
      </w:pPr>
      <w:r>
        <w:rPr>
          <w:rFonts w:ascii="Times New Roman" w:hAnsi="Times New Roman"/>
          <w:b w:val="0"/>
          <w:i w:val="0"/>
          <w:color w:val="000000"/>
          <w:sz w:val="24"/>
        </w:rPr>
        <w:t>Dentro de los elementos que conforman el costo de construcción, la Circular N°49 de 2006 del SII incluye expresamente, entre otros: la mano de obra, los materiales, los servicios utilizados, los gastos de financiamiento y la subcontratación total o parcial de la obra. Los pagos por expropiaciones y por uso de infraestructura preexistente que el Concesionario deba efectuar al MOP en esta etapa integran dicho costo, tal como lo refleja la práctica contable y tributaria de las sociedades concesionarias, en que estas partidas aparecen registradas directamente en la cuenta de costo de construcción.</w:t>
      </w:r>
    </w:p>
    <w:p>
      <w:pPr>
        <w:spacing w:before="0" w:after="120"/>
        <w:jc w:val="both"/>
      </w:pPr>
      <w:r>
        <w:rPr>
          <w:rFonts w:ascii="Times New Roman" w:hAnsi="Times New Roman"/>
          <w:b w:val="0"/>
          <w:i w:val="0"/>
          <w:color w:val="000000"/>
          <w:sz w:val="24"/>
        </w:rPr>
        <w:t>En consecuencia, estos desembolsos no son deducibles como gasto en el período en que se incurran, sino que se activan como parte del costo de la obra y se imputan al resultado tributario en el ejercicio en que se devenga el ingreso por el contrato de construcción —es decir, al inicio de la explotación—. Posteriormente, el costo total de construcción así determinado se amortiza durante el plazo de duración de la concesión, como elemento del gasto diferido de los ingresos de explotación.</w:t>
      </w:r>
    </w:p>
    <w:p>
      <w:pPr>
        <w:spacing w:before="240" w:after="80"/>
      </w:pPr>
      <w:r>
        <w:rPr>
          <w:rFonts w:ascii="Times New Roman" w:hAnsi="Times New Roman"/>
          <w:b/>
          <w:color w:val="000000"/>
          <w:sz w:val="24"/>
        </w:rPr>
        <w:t>b) Pagos efectuados durante la etapa de explotación</w:t>
      </w:r>
    </w:p>
    <w:p>
      <w:pPr>
        <w:spacing w:before="120" w:after="120"/>
        <w:jc w:val="both"/>
      </w:pPr>
      <w:r>
        <w:rPr>
          <w:rFonts w:ascii="Times New Roman" w:hAnsi="Times New Roman"/>
          <w:b w:val="0"/>
          <w:i w:val="0"/>
          <w:color w:val="000000"/>
          <w:sz w:val="24"/>
        </w:rPr>
        <w:t>Los pagos que el Concesionario efectúe al Estado durante la etapa de explotación de la concesión —por concepto de expropiaciones asociadas a ampliaciones o mejoras de la obra, uso de infraestructura preexistente, supervisión y control, estudios efectuados por el Fisco y administración del contrato— tienen la naturaleza de gastos necesarios para producir la renta de explotación.</w:t>
      </w:r>
    </w:p>
    <w:p>
      <w:pPr>
        <w:spacing w:before="0" w:after="120"/>
        <w:jc w:val="both"/>
      </w:pPr>
      <w:r>
        <w:rPr>
          <w:rFonts w:ascii="Times New Roman" w:hAnsi="Times New Roman"/>
          <w:b w:val="0"/>
          <w:i w:val="0"/>
          <w:color w:val="000000"/>
          <w:sz w:val="24"/>
        </w:rPr>
        <w:t>En consecuencia, estos desembolsos son deducibles de los ingresos brutos percibidos o devengados por la explotación de la concesión, para efectos de la determinación de la base imponible del IDPC, en la medida en que cumplan con los requisitos generales del artículo 31 de la LIR, esto es: (i) que sean gastos necesarios para producir la renta —con aptitud para generar o mantener ingresos—; (ii) que no hayan sido deducidos como parte del costo de la obra; y (iii) que se encuentren debidamente documentados y acreditados.</w:t>
      </w:r>
    </w:p>
    <w:p>
      <w:pPr>
        <w:spacing w:before="0" w:after="120"/>
        <w:jc w:val="both"/>
      </w:pPr>
      <w:r>
        <w:rPr>
          <w:rFonts w:ascii="Times New Roman" w:hAnsi="Times New Roman"/>
          <w:b w:val="0"/>
          <w:i w:val="0"/>
          <w:color w:val="000000"/>
          <w:sz w:val="24"/>
        </w:rPr>
        <w:t>Para el Estado, estos pagos constituyen un reembolso de gastos o recuperación de desembolsos incurridos, sin que ello genere un ingreso tributable para el Fisco en términos del impuesto a la renta, dado que la contraparte es el Estado y no un contribuyente en el sentido convencional.</w:t>
      </w:r>
    </w:p>
    <w:p>
      <w:pPr>
        <w:spacing w:before="240" w:after="80"/>
      </w:pPr>
      <w:r>
        <w:rPr>
          <w:rFonts w:ascii="Times New Roman" w:hAnsi="Times New Roman"/>
          <w:b/>
          <w:color w:val="000000"/>
          <w:sz w:val="24"/>
        </w:rPr>
        <w:t>c) Síntesis del tratamiento</w:t>
      </w:r>
    </w:p>
    <w:p>
      <w:pPr>
        <w:spacing w:before="120" w:after="120"/>
        <w:jc w:val="both"/>
      </w:pPr>
      <w:r>
        <w:rPr>
          <w:rFonts w:ascii="Times New Roman" w:hAnsi="Times New Roman"/>
          <w:b w:val="0"/>
          <w:i w:val="0"/>
          <w:color w:val="000000"/>
          <w:sz w:val="24"/>
        </w:rPr>
        <w:t>A modo de resumen, el tratamiento tributario de los pagos por expropiaciones efectuados por el Concesionario puede esquematizarse de la siguiente manera:</w:t>
      </w:r>
    </w:p>
    <w:tbl>
      <w:tblPr>
        <w:tblStyle w:val="TableGrid"/>
        <w:tblW w:type="auto" w:w="0"/>
        <w:tblLayout w:type="autofit"/>
        <w:tblLook w:firstColumn="1" w:firstRow="1" w:lastColumn="0" w:lastRow="0" w:noHBand="0" w:noVBand="1" w:val="04A0"/>
      </w:tblPr>
      <w:tblGrid>
        <w:gridCol w:w="3041"/>
        <w:gridCol w:w="3041"/>
        <w:gridCol w:w="3041"/>
      </w:tblGrid>
      <w:tr>
        <w:tc>
          <w:tcPr>
            <w:tcW w:type="dxa" w:w="3041"/>
          </w:tcPr>
          <w:p>
            <w:r/>
            <w:r>
              <w:rPr>
                <w:rFonts w:ascii="Times New Roman" w:hAnsi="Times New Roman"/>
                <w:b/>
                <w:color w:val="000000"/>
                <w:sz w:val="22"/>
              </w:rPr>
              <w:t>Etapa</w:t>
            </w:r>
          </w:p>
        </w:tc>
        <w:tc>
          <w:tcPr>
            <w:tcW w:type="dxa" w:w="3041"/>
          </w:tcPr>
          <w:p>
            <w:r/>
            <w:r>
              <w:rPr>
                <w:rFonts w:ascii="Times New Roman" w:hAnsi="Times New Roman"/>
                <w:b/>
                <w:color w:val="000000"/>
                <w:sz w:val="22"/>
              </w:rPr>
              <w:t>Naturaleza del pago</w:t>
            </w:r>
          </w:p>
        </w:tc>
        <w:tc>
          <w:tcPr>
            <w:tcW w:type="dxa" w:w="3041"/>
          </w:tcPr>
          <w:p>
            <w:r/>
            <w:r>
              <w:rPr>
                <w:rFonts w:ascii="Times New Roman" w:hAnsi="Times New Roman"/>
                <w:b/>
                <w:color w:val="000000"/>
                <w:sz w:val="22"/>
              </w:rPr>
              <w:t>Tratamiento Tributario (Renta)</w:t>
            </w:r>
          </w:p>
        </w:tc>
      </w:tr>
      <w:tr>
        <w:tc>
          <w:tcPr>
            <w:tcW w:type="dxa" w:w="3041"/>
          </w:tcPr>
          <w:p>
            <w:r/>
            <w:r>
              <w:rPr>
                <w:rFonts w:ascii="Times New Roman" w:hAnsi="Times New Roman"/>
                <w:color w:val="000000"/>
                <w:sz w:val="20"/>
              </w:rPr>
              <w:t>Construcción</w:t>
              <w:br/>
              <w:t>(antes de la PSP)</w:t>
            </w:r>
          </w:p>
        </w:tc>
        <w:tc>
          <w:tcPr>
            <w:tcW w:type="dxa" w:w="3041"/>
          </w:tcPr>
          <w:p>
            <w:r/>
            <w:r>
              <w:rPr>
                <w:rFonts w:ascii="Times New Roman" w:hAnsi="Times New Roman"/>
                <w:color w:val="000000"/>
                <w:sz w:val="20"/>
              </w:rPr>
              <w:t>Expropiaciones y costos necesarios para construir la obra</w:t>
            </w:r>
          </w:p>
        </w:tc>
        <w:tc>
          <w:tcPr>
            <w:tcW w:type="dxa" w:w="3041"/>
          </w:tcPr>
          <w:p>
            <w:r/>
            <w:r>
              <w:rPr>
                <w:rFonts w:ascii="Times New Roman" w:hAnsi="Times New Roman"/>
                <w:color w:val="000000"/>
                <w:sz w:val="20"/>
              </w:rPr>
              <w:t>Forman parte del costo de construcción. Se activan y se devengan al inicio de la explotación (Art. 15 LIR y Circular N°49/2006).</w:t>
            </w:r>
          </w:p>
        </w:tc>
      </w:tr>
      <w:tr>
        <w:tc>
          <w:tcPr>
            <w:tcW w:type="dxa" w:w="3041"/>
          </w:tcPr>
          <w:p>
            <w:r/>
            <w:r>
              <w:rPr>
                <w:rFonts w:ascii="Times New Roman" w:hAnsi="Times New Roman"/>
                <w:color w:val="000000"/>
                <w:sz w:val="20"/>
              </w:rPr>
              <w:t>Explotación</w:t>
              <w:br/>
              <w:t>(después de la PSP)</w:t>
            </w:r>
          </w:p>
        </w:tc>
        <w:tc>
          <w:tcPr>
            <w:tcW w:type="dxa" w:w="3041"/>
          </w:tcPr>
          <w:p>
            <w:r/>
            <w:r>
              <w:rPr>
                <w:rFonts w:ascii="Times New Roman" w:hAnsi="Times New Roman"/>
                <w:color w:val="000000"/>
                <w:sz w:val="20"/>
              </w:rPr>
              <w:t>Expropiaciones por ampliaciones, uso de infraestructura, supervisión y administración</w:t>
            </w:r>
          </w:p>
        </w:tc>
        <w:tc>
          <w:tcPr>
            <w:tcW w:type="dxa" w:w="3041"/>
          </w:tcPr>
          <w:p>
            <w:r/>
            <w:r>
              <w:rPr>
                <w:rFonts w:ascii="Times New Roman" w:hAnsi="Times New Roman"/>
                <w:color w:val="000000"/>
                <w:sz w:val="20"/>
              </w:rPr>
              <w:t>Gastos necesarios para producir la renta. Deducibles de los ingresos brutos de explotación conforme al Art. 31 LIR.</w:t>
            </w:r>
          </w:p>
        </w:tc>
      </w:tr>
    </w:tbl>
    <w:p/>
    <w:p>
      <w:pPr>
        <w:spacing w:before="240" w:after="80"/>
      </w:pPr>
      <w:r>
        <w:rPr>
          <w:rFonts w:ascii="Times New Roman" w:hAnsi="Times New Roman"/>
          <w:b/>
          <w:color w:val="000000"/>
          <w:sz w:val="28"/>
        </w:rPr>
        <w:t>CONCLUSIONES</w:t>
      </w:r>
    </w:p>
    <w:p>
      <w:pPr>
        <w:spacing w:before="80" w:after="80"/>
        <w:pBdr>
          <w:bottom w:val="single" w:sz="4" w:space="1" w:color="000000"/>
        </w:pBdr>
      </w:pPr>
    </w:p>
    <w:p>
      <w:pPr>
        <w:spacing w:before="120" w:after="120"/>
        <w:jc w:val="both"/>
      </w:pPr>
      <w:r>
        <w:rPr>
          <w:rFonts w:ascii="Times New Roman" w:hAnsi="Times New Roman"/>
          <w:b w:val="0"/>
          <w:i w:val="0"/>
          <w:color w:val="000000"/>
          <w:sz w:val="24"/>
        </w:rPr>
        <w:t>Del análisis efectuado se desprenden las siguientes conclusiones principales:</w:t>
      </w:r>
    </w:p>
    <w:p>
      <w:pPr>
        <w:spacing w:before="80" w:after="80"/>
        <w:jc w:val="both"/>
      </w:pPr>
      <w:r>
        <w:rPr>
          <w:rFonts w:ascii="Times New Roman" w:hAnsi="Times New Roman"/>
          <w:b/>
          <w:color w:val="000000"/>
          <w:sz w:val="24"/>
        </w:rPr>
        <w:t xml:space="preserve">1. Premios: </w:t>
      </w:r>
      <w:r>
        <w:rPr>
          <w:rFonts w:ascii="Times New Roman" w:hAnsi="Times New Roman"/>
          <w:b w:val="0"/>
          <w:color w:val="000000"/>
          <w:sz w:val="24"/>
        </w:rPr>
        <w:t>Constituyen un mayor ingreso bruto afecto al IDPC y a IVA cuando sean contraprestación por los servicios concesionados. Se incorporan a los ingresos de explotación conforme a la Circular N°49 y N°44 de 2006 del SII.</w:t>
      </w:r>
    </w:p>
    <w:p>
      <w:pPr>
        <w:spacing w:before="80" w:after="80"/>
        <w:jc w:val="both"/>
      </w:pPr>
      <w:r>
        <w:rPr>
          <w:rFonts w:ascii="Times New Roman" w:hAnsi="Times New Roman"/>
          <w:b/>
          <w:color w:val="000000"/>
          <w:sz w:val="24"/>
        </w:rPr>
        <w:t xml:space="preserve">2. Indemnizaciones: </w:t>
      </w:r>
      <w:r>
        <w:rPr>
          <w:rFonts w:ascii="Times New Roman" w:hAnsi="Times New Roman"/>
          <w:b w:val="0"/>
          <w:color w:val="000000"/>
          <w:sz w:val="24"/>
        </w:rPr>
        <w:t>Constituyen renta para el Concesionario y quedan afectas al IDPC. El daño emergente debidamente acreditado puede rebajarse como gasto (Art. 31 LIR). No están afectas a IVA, pues no son precio de servicios sino compensación por perjuicios.</w:t>
      </w:r>
    </w:p>
    <w:p>
      <w:pPr>
        <w:spacing w:before="80" w:after="80"/>
        <w:jc w:val="both"/>
      </w:pPr>
      <w:r>
        <w:rPr>
          <w:rFonts w:ascii="Times New Roman" w:hAnsi="Times New Roman"/>
          <w:b/>
          <w:color w:val="000000"/>
          <w:sz w:val="24"/>
        </w:rPr>
        <w:t xml:space="preserve">3. Ingreso Mínimo Garantizado: </w:t>
      </w:r>
      <w:r>
        <w:rPr>
          <w:rFonts w:ascii="Times New Roman" w:hAnsi="Times New Roman"/>
          <w:b w:val="0"/>
          <w:color w:val="000000"/>
          <w:sz w:val="24"/>
        </w:rPr>
        <w:t>Es un mayor precio de los servicios concesionados. Afecto al IDPC como ingreso bruto de explotación y afecto a IVA en la proporción correspondiente a los servicios de explotación (típicamente el 20%), conforme a los Arts. 16 letras c) y h) del DL 825 y Circular N°44 de 2006.</w:t>
      </w:r>
    </w:p>
    <w:p>
      <w:pPr>
        <w:spacing w:before="80" w:after="80"/>
        <w:jc w:val="both"/>
      </w:pPr>
      <w:r>
        <w:rPr>
          <w:rFonts w:ascii="Times New Roman" w:hAnsi="Times New Roman"/>
          <w:b/>
          <w:color w:val="000000"/>
          <w:sz w:val="24"/>
        </w:rPr>
        <w:t xml:space="preserve">4. Expropiaciones (etapa construcción): </w:t>
      </w:r>
      <w:r>
        <w:rPr>
          <w:rFonts w:ascii="Times New Roman" w:hAnsi="Times New Roman"/>
          <w:b w:val="0"/>
          <w:color w:val="000000"/>
          <w:sz w:val="24"/>
        </w:rPr>
        <w:t>Forman parte del costo de la obra. Se activan y se imputan al resultado tributario al inicio de la explotación, amortizándose durante el plazo de la concesión (Art. 15 LIR, Circular N°49/2006).</w:t>
      </w:r>
    </w:p>
    <w:p>
      <w:pPr>
        <w:spacing w:before="80" w:after="80"/>
        <w:jc w:val="both"/>
      </w:pPr>
      <w:r>
        <w:rPr>
          <w:rFonts w:ascii="Times New Roman" w:hAnsi="Times New Roman"/>
          <w:b/>
          <w:color w:val="000000"/>
          <w:sz w:val="24"/>
        </w:rPr>
        <w:t xml:space="preserve">5. Expropiaciones (etapa explotación): </w:t>
      </w:r>
      <w:r>
        <w:rPr>
          <w:rFonts w:ascii="Times New Roman" w:hAnsi="Times New Roman"/>
          <w:b w:val="0"/>
          <w:color w:val="000000"/>
          <w:sz w:val="24"/>
        </w:rPr>
        <w:t>Son gastos necesarios para producir la renta, deducibles de los ingresos brutos de explotación conforme al Art. 31 LIR, siempre que cumplan los requisitos generales de necesidad, vinculación al giro y debida documentación.</w:t>
      </w:r>
    </w:p>
    <w:p>
      <w:pPr>
        <w:spacing w:before="240" w:after="80"/>
      </w:pPr>
      <w:r>
        <w:rPr>
          <w:rFonts w:ascii="Times New Roman" w:hAnsi="Times New Roman"/>
          <w:b/>
          <w:color w:val="000000"/>
          <w:sz w:val="28"/>
        </w:rPr>
        <w:t>NORMATIVA Y FUENTES CONSULTADAS</w:t>
      </w:r>
    </w:p>
    <w:p>
      <w:pPr>
        <w:spacing w:before="80" w:after="80"/>
        <w:pBdr>
          <w:bottom w:val="single" w:sz="4" w:space="1" w:color="000000"/>
        </w:pBdr>
      </w:pPr>
    </w:p>
    <w:p>
      <w:pPr>
        <w:pStyle w:val="ListBullet"/>
        <w:spacing w:before="40" w:after="40"/>
      </w:pPr>
      <w:r>
        <w:rPr>
          <w:rFonts w:ascii="Times New Roman" w:hAnsi="Times New Roman"/>
          <w:color w:val="000000"/>
          <w:sz w:val="22"/>
        </w:rPr>
        <w:t>Decreto Ley N°824 de 1974, Ley sobre Impuesto a la Renta (LIR), en especial Arts. 15, 17, 20 y 31.</w:t>
      </w:r>
    </w:p>
    <w:p>
      <w:pPr>
        <w:pStyle w:val="ListBullet"/>
        <w:spacing w:before="40" w:after="40"/>
      </w:pPr>
      <w:r>
        <w:rPr>
          <w:rFonts w:ascii="Times New Roman" w:hAnsi="Times New Roman"/>
          <w:color w:val="000000"/>
          <w:sz w:val="22"/>
        </w:rPr>
        <w:t>Decreto Ley N°825 de 1974, Ley sobre Impuesto a las Ventas y Servicios (LIVS), Arts. 16 letras c) y h), y Art. 55.</w:t>
      </w:r>
    </w:p>
    <w:p>
      <w:pPr>
        <w:pStyle w:val="ListBullet"/>
        <w:spacing w:before="40" w:after="40"/>
      </w:pPr>
      <w:r>
        <w:rPr>
          <w:rFonts w:ascii="Times New Roman" w:hAnsi="Times New Roman"/>
          <w:color w:val="000000"/>
          <w:sz w:val="22"/>
        </w:rPr>
        <w:t>Decreto MOP N°900 de 1996, que fija el Texto Refundido, Coordinado y Sistematizado del DFL MOP N°164 de 1991, Ley de Concesiones de Obras Públicas.</w:t>
      </w:r>
    </w:p>
    <w:p>
      <w:pPr>
        <w:pStyle w:val="ListBullet"/>
        <w:spacing w:before="40" w:after="40"/>
      </w:pPr>
      <w:r>
        <w:rPr>
          <w:rFonts w:ascii="Times New Roman" w:hAnsi="Times New Roman"/>
          <w:color w:val="000000"/>
          <w:sz w:val="22"/>
        </w:rPr>
        <w:t>Decreto MOP N°956 de 1997, Reglamento de la Ley de Concesiones de Obras Públicas.</w:t>
      </w:r>
    </w:p>
    <w:p>
      <w:pPr>
        <w:pStyle w:val="ListBullet"/>
        <w:spacing w:before="40" w:after="40"/>
      </w:pPr>
      <w:r>
        <w:rPr>
          <w:rFonts w:ascii="Times New Roman" w:hAnsi="Times New Roman"/>
          <w:color w:val="000000"/>
          <w:sz w:val="22"/>
        </w:rPr>
        <w:t>Ley N°19.460 de 13 de julio de 1996.</w:t>
      </w:r>
    </w:p>
    <w:p>
      <w:pPr>
        <w:pStyle w:val="ListBullet"/>
        <w:spacing w:before="40" w:after="40"/>
      </w:pPr>
      <w:r>
        <w:rPr>
          <w:rFonts w:ascii="Times New Roman" w:hAnsi="Times New Roman"/>
          <w:color w:val="000000"/>
          <w:sz w:val="22"/>
        </w:rPr>
        <w:t>Circular N°49 de 2006, SII — Imparte instrucciones sobre tributación aplicable a los contratos de concesión de obras de uso público (Impuesto a la Renta).</w:t>
      </w:r>
    </w:p>
    <w:p>
      <w:pPr>
        <w:pStyle w:val="ListBullet"/>
        <w:spacing w:before="40" w:after="40"/>
      </w:pPr>
      <w:r>
        <w:rPr>
          <w:rFonts w:ascii="Times New Roman" w:hAnsi="Times New Roman"/>
          <w:color w:val="000000"/>
          <w:sz w:val="22"/>
        </w:rPr>
        <w:t>Circular N°44 de 2006, SII — Imparte instrucciones sobre tributación aplicable a los contratos de concesión de obras de uso público (IVA).</w:t>
      </w:r>
    </w:p>
    <w:p>
      <w:pPr>
        <w:pStyle w:val="ListBullet"/>
        <w:spacing w:before="40" w:after="40"/>
      </w:pPr>
      <w:r>
        <w:rPr>
          <w:rFonts w:ascii="Times New Roman" w:hAnsi="Times New Roman"/>
          <w:color w:val="000000"/>
          <w:sz w:val="22"/>
        </w:rPr>
        <w:t>Niño Roa, Ximena. "Concesiones de Obras de Uso Público", presentación Tributación Sectorial, Magíster en Dirección Tributaria UVM, enero 2026.</w:t>
      </w:r>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