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8"/>
        </w:rPr>
        <w:t>MAGÍSTER EN DIRECCIÓN TRIBUTARIA — UNIVERSIDAD VIÑA DEL MAR</w:t>
      </w:r>
    </w:p>
    <w:p>
      <w:pPr>
        <w:jc w:val="center"/>
      </w:pPr>
      <w:r>
        <w:rPr>
          <w:b/>
          <w:color w:val="1A3A5C"/>
          <w:sz w:val="28"/>
        </w:rPr>
        <w:t>CASO 86 — CATÁLOGO DE ESQUEMAS TRIBUTARIOS SII 2025</w:t>
      </w:r>
    </w:p>
    <w:p>
      <w:pPr>
        <w:jc w:val="center"/>
      </w:pPr>
      <w:r>
        <w:rPr>
          <w:b/>
          <w:color w:val="2E6DA4"/>
          <w:sz w:val="22"/>
        </w:rPr>
        <w:t>Prestación de servicios profesionales mediante interposición de sociedad de profesionales</w:t>
      </w:r>
    </w:p>
    <w:p>
      <w:pPr>
        <w:jc w:val="center"/>
      </w:pPr>
      <w:r>
        <w:rPr>
          <w:b/>
          <w:color w:val="555555"/>
          <w:sz w:val="20"/>
        </w:rPr>
        <w:t>Informe de Análisis y Defensa de Posición</w:t>
      </w:r>
    </w:p>
    <w:p>
      <w:pPr>
        <w:jc w:val="center"/>
      </w:pPr>
      <w:r>
        <w:rPr>
          <w:color w:val="2E6DA4"/>
          <w:sz w:val="16"/>
        </w:rPr>
        <w:t>________________________________________________________________________________</w:t>
      </w:r>
    </w:p>
    <w:p>
      <w:pPr>
        <w:spacing w:before="200" w:after="80"/>
        <w:pBdr>
          <w:bottom w:val="single" w:sz="8" w:space="1" w:color="2E6DA4"/>
        </w:pBdr>
      </w:pPr>
      <w:r>
        <w:rPr>
          <w:b/>
          <w:color w:val="1A3A5C"/>
          <w:sz w:val="24"/>
        </w:rPr>
        <w:t>I.  DESCRIPCIÓN DEL ESQUEMA OBJETO DE ANÁLISIS</w:t>
      </w:r>
    </w:p>
    <w:p>
      <w:pPr>
        <w:jc w:val="both"/>
      </w:pPr>
      <w:r>
        <w:rPr>
          <w:b w:val="0"/>
          <w:sz w:val="21"/>
        </w:rPr>
        <w:t>El contribuyente A, persona natural, constituye junto a otros dos socios (B y C) una sociedad de profesionales D, destinada formalmente a la prestación de servicios. La participación social se distribuye en partes iguales (33,33% cada uno), tanto en capital como en utilidades. El capital social aportado no resulta significativo en comparación con los ingresos anuales generados por la compañía.</w:t>
      </w:r>
    </w:p>
    <w:p>
      <w:pPr>
        <w:jc w:val="both"/>
      </w:pPr>
      <w:r>
        <w:rPr>
          <w:b w:val="0"/>
          <w:sz w:val="21"/>
        </w:rPr>
        <w:t>El elemento crítico del esquema es que los servicios profesionales son prestados casi exclusivamente por el socio A a diversas instituciones y personas naturales, mientras que B y C no prestan servicios profesionales para la sociedad ni desempeñan algún rol estratégico dentro de ella. Sin embargo, al efectuarse los retiros de utilidades en proporción al porcentaje de capital aportado (33,33% cada uno), los tres socios reciben en partes iguales las utilidades generadas íntegramente por A.</w:t>
      </w:r>
    </w:p>
    <w:p>
      <w:pPr>
        <w:jc w:val="both"/>
      </w:pPr>
      <w:r>
        <w:rPr>
          <w:b w:val="0"/>
          <w:sz w:val="21"/>
        </w:rPr>
        <w:t>Como resultado, los ingresos generados por la actividad profesional de A son diluidos en tres tramos de Impuesto Global Complementario (IGC) independientes, reduciendo significativamente la carga tributaria del contribuyente A en relación a la que correspondería si dichos ingresos los percibiera directamente (sea como trabajador independiente del Art. 42 N°2 LIR, o como único socio prestador de servicios).</w:t>
      </w:r>
    </w:p>
    <w:p>
      <w:pPr>
        <w:spacing w:before="200" w:after="80"/>
        <w:pBdr>
          <w:bottom w:val="single" w:sz="8" w:space="1" w:color="2E6DA4"/>
        </w:pBdr>
      </w:pPr>
      <w:r>
        <w:rPr>
          <w:b/>
          <w:color w:val="1A3A5C"/>
          <w:sz w:val="24"/>
        </w:rPr>
        <w:t>II.  NORMATIVA APLICABLE</w:t>
      </w:r>
    </w:p>
    <w:p>
      <w:pPr>
        <w:spacing w:before="160" w:after="60"/>
      </w:pPr>
      <w:r>
        <w:rPr>
          <w:b/>
          <w:color w:val="2E6DA4"/>
          <w:sz w:val="22"/>
        </w:rPr>
        <w:t>1. Artículo 42 N°2 de la Ley sobre Impuesto a la Renta</w:t>
      </w:r>
    </w:p>
    <w:p>
      <w:pPr>
        <w:jc w:val="both"/>
      </w:pPr>
      <w:r>
        <w:rPr>
          <w:b w:val="0"/>
          <w:sz w:val="21"/>
        </w:rPr>
        <w:t>El Art. 42 N°2 LIR califica como rentas de segunda categoría los ingresos provenientes del ejercicio de profesiones liberales u otras ocupaciones lucrativas no comprendidas en la primera categoría. El inciso tercero de la norma permite a las sociedades de profesionales que prestan exclusivamente servicios o asesorías profesionales optar por declarar sus rentas conforme a las normas de la primera categoría, sujetándose a sus disposiciones para todos los efectos de la ley.</w:t>
      </w:r>
    </w:p>
    <w:p>
      <w:pPr>
        <w:spacing w:before="160" w:after="60"/>
      </w:pPr>
      <w:r>
        <w:rPr>
          <w:b/>
          <w:color w:val="2E6DA4"/>
          <w:sz w:val="22"/>
        </w:rPr>
        <w:t>2. Circular N°21 de 1991 y Circular N°50 de 2020 del SII</w:t>
      </w:r>
    </w:p>
    <w:p>
      <w:pPr>
        <w:jc w:val="both"/>
      </w:pPr>
      <w:r>
        <w:rPr>
          <w:b w:val="0"/>
          <w:sz w:val="21"/>
        </w:rPr>
        <w:t>Ambas circulares fijan los requisitos copulativos que deben cumplirse para calificar como sociedad de profesionales:</w:t>
      </w:r>
    </w:p>
    <w:p>
      <w:pPr>
        <w:pStyle w:val="ListBullet"/>
        <w:spacing w:after="40"/>
        <w:ind w:left="283"/>
      </w:pPr>
      <w:r>
        <w:rPr>
          <w:sz w:val="20"/>
        </w:rPr>
        <w:t>Debe tratarse de una sociedad de personas.</w:t>
      </w:r>
    </w:p>
    <w:p>
      <w:pPr>
        <w:pStyle w:val="ListBullet"/>
        <w:spacing w:after="40"/>
        <w:ind w:left="283"/>
      </w:pPr>
      <w:r>
        <w:rPr>
          <w:sz w:val="20"/>
        </w:rPr>
        <w:t>Su objeto exclusivo debe ser la prestación de servicios o asesorías profesionales.</w:t>
      </w:r>
    </w:p>
    <w:p>
      <w:pPr>
        <w:pStyle w:val="ListBullet"/>
        <w:spacing w:after="40"/>
        <w:ind w:left="283"/>
      </w:pPr>
      <w:r>
        <w:rPr>
          <w:sz w:val="20"/>
        </w:rPr>
        <w:t>Los servicios deben ser prestados por intermedio de sus socios, asociados o con la colaboración de dependientes que coadyuven a la prestación del servicio.</w:t>
      </w:r>
    </w:p>
    <w:p>
      <w:pPr>
        <w:pStyle w:val="ListBullet"/>
        <w:spacing w:after="40"/>
        <w:ind w:left="283"/>
      </w:pPr>
      <w:r>
        <w:rPr>
          <w:sz w:val="20"/>
        </w:rPr>
        <w:t>TODOS sus socios (sean personas naturales u otras sociedades de profesionales) deben ejercer sus profesiones para la sociedad. No es aceptable que uno o más de ellos solo aporte capital.</w:t>
      </w:r>
    </w:p>
    <w:p>
      <w:pPr>
        <w:pStyle w:val="ListBullet"/>
        <w:spacing w:after="40"/>
        <w:ind w:left="283"/>
      </w:pPr>
      <w:r>
        <w:rPr>
          <w:sz w:val="20"/>
        </w:rPr>
        <w:t>No es relevante la forma de remuneración a los socios (contrato de trabajo, sueldo patronal, retiro de utilidades), sino la realización efectiva de labores profesionales en beneficio de la sociedad.</w:t>
      </w:r>
    </w:p>
    <w:p>
      <w:pPr>
        <w:spacing w:before="160" w:after="60"/>
      </w:pPr>
      <w:r>
        <w:rPr>
          <w:b/>
          <w:color w:val="2E6DA4"/>
          <w:sz w:val="22"/>
        </w:rPr>
        <w:t>3. Normas Generales Antielusivas — Arts. 4 bis, 4 ter, 4 quáter y 4 quinquies del CT</w:t>
      </w:r>
    </w:p>
    <w:p>
      <w:pPr>
        <w:jc w:val="both"/>
      </w:pPr>
      <w:r>
        <w:rPr>
          <w:b w:val="0"/>
          <w:sz w:val="21"/>
        </w:rPr>
        <w:t>Incorporadas por la Ley N°20.780 (2014) y modificadas por la Ley N°21.210 (2020), establecen el marco para que la administración tributaria pueda recalificar actos o contratos cuando se configura abuso de las formas jurídicas o simulación:</w:t>
      </w:r>
    </w:p>
    <w:p>
      <w:pPr>
        <w:pStyle w:val="ListBullet"/>
        <w:spacing w:after="40"/>
        <w:ind w:left="283"/>
      </w:pPr>
      <w:r>
        <w:rPr>
          <w:sz w:val="20"/>
        </w:rPr>
        <w:t>Art. 4 bis CT: Principio de buena fe. Las obligaciones tributarias nacen y se exigen con arreglo a la naturaleza jurídica de los hechos, actos o negocios realizados, cualquiera sea la forma o denominación que los interesados les hubieren dado.</w:t>
      </w:r>
    </w:p>
    <w:p>
      <w:pPr>
        <w:pStyle w:val="ListBullet"/>
        <w:spacing w:after="40"/>
        <w:ind w:left="283"/>
      </w:pPr>
      <w:r>
        <w:rPr>
          <w:sz w:val="20"/>
        </w:rPr>
        <w:t>Art. 4 ter CT (Abuso): Existe abuso cuando se evita total o parcialmente la realización del hecho gravado, o se disminuye la base imponible o la obligación tributaria, mediante actos o negocios que, individualmente considerados o en su conjunto, no produzcan resultados o efectos jurídicos o económicos relevantes para el contribuyente o un tercero, que sean distintos de los meramente tributarios.</w:t>
      </w:r>
    </w:p>
    <w:p>
      <w:pPr>
        <w:pStyle w:val="ListBullet"/>
        <w:spacing w:after="40"/>
        <w:ind w:left="283"/>
      </w:pPr>
      <w:r>
        <w:rPr>
          <w:sz w:val="20"/>
        </w:rPr>
        <w:t>Art. 4 quáter CT (Simulación): Habrá simulación cuando los actos o negocios disimulen la configuración del hecho gravado o la naturaleza de los elementos constitutivos de la obligación tributaria, o su verdadero monto o data de nacimiento.</w:t>
      </w:r>
    </w:p>
    <w:p>
      <w:pPr>
        <w:pStyle w:val="ListBullet"/>
        <w:spacing w:after="40"/>
        <w:ind w:left="283"/>
      </w:pPr>
      <w:r>
        <w:rPr>
          <w:sz w:val="20"/>
        </w:rPr>
        <w:t>Art. 4 quinquies CT: Procedimiento. La existencia de abuso o simulación será declarada por el Tribunal Tributario y Aduanero, a requerimiento del Director del SII.</w:t>
      </w:r>
    </w:p>
    <w:p>
      <w:pPr>
        <w:spacing w:before="160" w:after="60"/>
      </w:pPr>
      <w:r>
        <w:rPr>
          <w:b/>
          <w:color w:val="2E6DA4"/>
          <w:sz w:val="22"/>
        </w:rPr>
        <w:t>4. Circular N°65 de 2015 del SII</w:t>
      </w:r>
    </w:p>
    <w:p>
      <w:pPr>
        <w:jc w:val="both"/>
      </w:pPr>
      <w:r>
        <w:rPr>
          <w:b w:val="0"/>
          <w:sz w:val="21"/>
        </w:rPr>
        <w:t>Imparte instrucciones sobre la aplicación práctica de las Normas Generales Antielusivas. Precisa que el abuso requiere acreditar la ausencia de efectos jurídicos o económicos relevantes distintos de los tributarios, y que la simulación supone una divergencia consciente entre la voluntad real y la declarada.</w:t>
      </w:r>
    </w:p>
    <w:p>
      <w:pPr>
        <w:spacing w:before="160" w:after="60"/>
      </w:pPr>
      <w:r>
        <w:rPr>
          <w:b/>
          <w:color w:val="2E6DA4"/>
          <w:sz w:val="22"/>
        </w:rPr>
        <w:t>5. Oficio N°2359 de 2022 del SII</w:t>
      </w:r>
    </w:p>
    <w:p>
      <w:pPr>
        <w:jc w:val="both"/>
      </w:pPr>
      <w:r>
        <w:rPr>
          <w:b w:val="0"/>
          <w:sz w:val="21"/>
        </w:rPr>
        <w:t>Pronunciamiento que aclara que la sociedad de profesionales que optó por tributar en primera categoría no puede transitar nuevamente a segunda categoría, reforzando el carácter estable de la opción del Art. 42 N°2 inciso 3°.</w:t>
      </w:r>
    </w:p>
    <w:p>
      <w:r>
        <w:br w:type="page"/>
      </w:r>
    </w:p>
    <w:p>
      <w:pPr>
        <w:spacing w:before="200" w:after="80"/>
        <w:pBdr>
          <w:bottom w:val="single" w:sz="8" w:space="1" w:color="2E6DA4"/>
        </w:pBdr>
      </w:pPr>
      <w:r>
        <w:rPr>
          <w:b/>
          <w:color w:val="1A3A5C"/>
          <w:sz w:val="24"/>
        </w:rPr>
        <w:t>III.  ANÁLISIS JURÍDICO DEL CASO</w:t>
      </w:r>
    </w:p>
    <w:p>
      <w:pPr>
        <w:spacing w:before="160" w:after="60"/>
      </w:pPr>
      <w:r>
        <w:rPr>
          <w:b/>
          <w:color w:val="2E6DA4"/>
          <w:sz w:val="22"/>
        </w:rPr>
        <w:t>1. Calificación de la sociedad D como 'sociedad de profesionales'</w:t>
      </w:r>
    </w:p>
    <w:p>
      <w:pPr>
        <w:jc w:val="both"/>
      </w:pPr>
      <w:r>
        <w:rPr>
          <w:b w:val="0"/>
          <w:sz w:val="21"/>
        </w:rPr>
        <w:t>El primer punto a dilucidar es si la sociedad D efectivamente califica como 'sociedad de profesionales' en los términos del Art. 42 N°2 inciso 3° LIR y de la Circular N°21 de 1991. La respuesta es negativa, por la siguiente razón:</w:t>
      </w:r>
    </w:p>
    <w:p>
      <w:pPr>
        <w:jc w:val="both"/>
      </w:pPr>
      <w:r>
        <w:rPr>
          <w:b w:val="0"/>
          <w:sz w:val="21"/>
        </w:rPr>
        <w:t>Uno de los requisitos copulativos exigidos por la administración tributaria es que TODOS los socios ejerzan sus profesiones para la sociedad. En el caso analizado, solo el socio A presta efectivamente los servicios profesionales; B y C no prestan servicios ni tienen rol estratégico en la entidad. En consecuencia, D no reúne los requisitos formales para ser considerada sociedad de profesionales y, por tanto, tampoco puede acogerse válidamente a la opción de tributar en primera categoría que contempla la norma especial.</w:t>
      </w:r>
    </w:p>
    <w:p>
      <w:pPr>
        <w:spacing w:before="160" w:after="60"/>
      </w:pPr>
      <w:r>
        <w:rPr>
          <w:b/>
          <w:color w:val="2E6DA4"/>
          <w:sz w:val="22"/>
        </w:rPr>
        <w:t>2. Análisis bajo el principio de realidad económica (Art. 4 bis CT)</w:t>
      </w:r>
    </w:p>
    <w:p>
      <w:pPr>
        <w:jc w:val="both"/>
      </w:pPr>
      <w:r>
        <w:rPr>
          <w:b w:val="0"/>
          <w:sz w:val="21"/>
        </w:rPr>
        <w:t>Conforme al Art. 4 bis del Código Tributario, las obligaciones tributarias nacen y se exigen con arreglo a la naturaleza jurídica de los hechos, cualquiera sea la forma o denominación. En el caso, la realidad económica es que A es el único profesional que ejerce labor lucrativa, generando los ingresos que se atribuyen indiscriminadamente a los tres socios.</w:t>
      </w:r>
    </w:p>
    <w:p>
      <w:pPr>
        <w:spacing w:before="160" w:after="60"/>
      </w:pPr>
      <w:r>
        <w:rPr>
          <w:b/>
          <w:color w:val="2E6DA4"/>
          <w:sz w:val="22"/>
        </w:rPr>
        <w:t>3. ¿Abuso o Simulación?</w:t>
      </w:r>
    </w:p>
    <w:p>
      <w:pPr>
        <w:jc w:val="both"/>
      </w:pPr>
      <w:r>
        <w:rPr>
          <w:b w:val="0"/>
          <w:sz w:val="21"/>
        </w:rPr>
        <w:t>Corresponde determinar si la conducta descrita configura un caso de abuso de las formas jurídicas (Art. 4 ter CT) o de simulación (Art. 4 quáter CT). El análisis del grupo concluye que se está frente a un caso de ABUSO, no de simulación, por las siguientes razones:</w:t>
      </w:r>
    </w:p>
    <w:p>
      <w:pPr>
        <w:pStyle w:val="ListBullet"/>
        <w:spacing w:after="40"/>
        <w:ind w:left="283"/>
      </w:pPr>
      <w:r>
        <w:rPr>
          <w:sz w:val="20"/>
        </w:rPr>
        <w:t>La sociedad D existe formalmente y está válidamente constituida. Los actos societarios son reales: hay un contrato de sociedad, un capital social aportado, una distribución de utilidades efectiva. No hay un acto disimulado tras otro: lo que se observa es exactamente lo que se declara (una sociedad con tres socios que reparten utilidades en proporción al capital).</w:t>
      </w:r>
    </w:p>
    <w:p>
      <w:pPr>
        <w:pStyle w:val="ListBullet"/>
        <w:spacing w:after="40"/>
        <w:ind w:left="283"/>
      </w:pPr>
      <w:r>
        <w:rPr>
          <w:sz w:val="20"/>
        </w:rPr>
        <w:t>El abuso radica en la utilización de una FORMA JURÍDICA inapropiada para el sustrato económico que se quiere amparar. La sociedad de profesionales es una figura prevista para que profesionales que trabajan en conjunto puedan organizarse con personalidad jurídica común. No está prevista para canalizar el trabajo individual de uno solo, diluyendo artificialmente sus utilidades en otros socios que no aportan trabajo.</w:t>
      </w:r>
    </w:p>
    <w:p>
      <w:pPr>
        <w:pStyle w:val="ListBullet"/>
        <w:spacing w:after="40"/>
        <w:ind w:left="283"/>
      </w:pPr>
      <w:r>
        <w:rPr>
          <w:sz w:val="20"/>
        </w:rPr>
        <w:t>Los actos del esquema no producen efectos jurídicos o económicos relevantes distintos del meramente tributario: la existencia de B y C como socios no agrega valor económico al negocio (no aportan capital significativo, no prestan servicios, no aportan clientela, no tienen rol estratégico). Su única función es servir de vehículo para 'absorber' parte de las utilidades de A.</w:t>
      </w:r>
    </w:p>
    <w:p>
      <w:pPr>
        <w:spacing w:before="160" w:after="60"/>
      </w:pPr>
      <w:r>
        <w:rPr>
          <w:b/>
          <w:color w:val="2E6DA4"/>
          <w:sz w:val="22"/>
        </w:rPr>
        <w:t>4. Efecto tributario del esquema — perjuicio fiscal</w:t>
      </w:r>
    </w:p>
    <w:p>
      <w:pPr>
        <w:jc w:val="both"/>
      </w:pPr>
      <w:r>
        <w:rPr>
          <w:b w:val="0"/>
          <w:sz w:val="21"/>
        </w:rPr>
        <w:t>El esquema afecta indebidamente la progresión del IGC del socio A. A modo ilustrativo, supóngase que la sociedad genera utilidades anuales por $300 millones, íntegramente atribuibles al trabajo profesional de 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A3A5C"/>
          </w:tcPr>
          <w:p>
            <w:r>
              <w:rPr>
                <w:b/>
                <w:color w:val="FFFFFF"/>
                <w:sz w:val="19"/>
              </w:rPr>
              <w:t>Escenario</w:t>
            </w:r>
          </w:p>
        </w:tc>
        <w:tc>
          <w:tcPr>
            <w:tcW w:type="dxa" w:w="3135"/>
            <w:shd w:val="clear" w:color="auto" w:fill="1A3A5C"/>
          </w:tcPr>
          <w:p>
            <w:r>
              <w:rPr>
                <w:b/>
                <w:color w:val="FFFFFF"/>
                <w:sz w:val="19"/>
              </w:rPr>
              <w:t>Atribución de renta</w:t>
            </w:r>
          </w:p>
        </w:tc>
        <w:tc>
          <w:tcPr>
            <w:tcW w:type="dxa" w:w="3135"/>
            <w:shd w:val="clear" w:color="auto" w:fill="1A3A5C"/>
          </w:tcPr>
          <w:p>
            <w:r>
              <w:rPr>
                <w:b/>
                <w:color w:val="FFFFFF"/>
                <w:sz w:val="19"/>
              </w:rPr>
              <w:t>Impacto IGC aproximado</w:t>
            </w:r>
          </w:p>
        </w:tc>
      </w:tr>
      <w:tr>
        <w:tc>
          <w:tcPr>
            <w:tcW w:type="dxa" w:w="3135"/>
          </w:tcPr>
          <w:p>
            <w:r>
              <w:rPr>
                <w:sz w:val="18"/>
              </w:rPr>
              <w:t>Sin esquema (A solo)</w:t>
            </w:r>
          </w:p>
        </w:tc>
        <w:tc>
          <w:tcPr>
            <w:tcW w:type="dxa" w:w="3135"/>
          </w:tcPr>
          <w:p>
            <w:r>
              <w:rPr>
                <w:sz w:val="18"/>
              </w:rPr>
              <w:t>A recibe $300 MM</w:t>
            </w:r>
          </w:p>
        </w:tc>
        <w:tc>
          <w:tcPr>
            <w:tcW w:type="dxa" w:w="3135"/>
          </w:tcPr>
          <w:p>
            <w:r>
              <w:rPr>
                <w:sz w:val="18"/>
              </w:rPr>
              <w:t>IGC en tramo marginal alto (40%) sobre un único contribuyente</w:t>
            </w:r>
          </w:p>
        </w:tc>
      </w:tr>
      <w:tr>
        <w:tc>
          <w:tcPr>
            <w:tcW w:type="dxa" w:w="3135"/>
          </w:tcPr>
          <w:p>
            <w:r>
              <w:rPr>
                <w:sz w:val="18"/>
              </w:rPr>
              <w:t>Con esquema D (3 socios)</w:t>
            </w:r>
          </w:p>
        </w:tc>
        <w:tc>
          <w:tcPr>
            <w:tcW w:type="dxa" w:w="3135"/>
          </w:tcPr>
          <w:p>
            <w:r>
              <w:rPr>
                <w:sz w:val="18"/>
              </w:rPr>
              <w:t>A: $100 MM · B: $100 MM · C: $100 MM</w:t>
            </w:r>
          </w:p>
        </w:tc>
        <w:tc>
          <w:tcPr>
            <w:tcW w:type="dxa" w:w="3135"/>
          </w:tcPr>
          <w:p>
            <w:r>
              <w:rPr>
                <w:sz w:val="18"/>
              </w:rPr>
              <w:t>Cada socio queda en tramo más bajo: ahorro fiscal significativo</w:t>
            </w:r>
          </w:p>
        </w:tc>
      </w:tr>
      <w:tr>
        <w:tc>
          <w:tcPr>
            <w:tcW w:type="dxa" w:w="3135"/>
          </w:tcPr>
          <w:p>
            <w:r>
              <w:rPr>
                <w:sz w:val="18"/>
              </w:rPr>
              <w:t>Diferencial</w:t>
            </w:r>
          </w:p>
        </w:tc>
        <w:tc>
          <w:tcPr>
            <w:tcW w:type="dxa" w:w="3135"/>
          </w:tcPr>
          <w:p>
            <w:r>
              <w:rPr>
                <w:sz w:val="18"/>
              </w:rPr>
              <w:t>Mismo ingreso económico real</w:t>
            </w:r>
          </w:p>
        </w:tc>
        <w:tc>
          <w:tcPr>
            <w:tcW w:type="dxa" w:w="3135"/>
          </w:tcPr>
          <w:p>
            <w:r>
              <w:rPr>
                <w:sz w:val="18"/>
              </w:rPr>
              <w:t>Reducción artificial de carga tributaria — ABUSO</w:t>
            </w:r>
          </w:p>
        </w:tc>
      </w:tr>
    </w:tbl>
    <w:p/>
    <w:p>
      <w:pPr>
        <w:spacing w:before="200" w:after="80"/>
        <w:pBdr>
          <w:bottom w:val="single" w:sz="8" w:space="1" w:color="2E6DA4"/>
        </w:pBdr>
      </w:pPr>
      <w:r>
        <w:rPr>
          <w:b/>
          <w:color w:val="1A3A5C"/>
          <w:sz w:val="24"/>
        </w:rPr>
        <w:t>IV.  POSICIÓN DEL GRUPO</w:t>
      </w:r>
    </w:p>
    <w:p>
      <w:pPr>
        <w:jc w:val="both"/>
      </w:pPr>
      <w:r>
        <w:rPr>
          <w:b/>
          <w:sz w:val="21"/>
        </w:rPr>
        <w:t>Considerando el análisis jurídico precedente, el grupo sostiene la siguiente posición:</w:t>
      </w:r>
    </w:p>
    <w:p>
      <w:pPr>
        <w:jc w:val="both"/>
      </w:pPr>
      <w:r>
        <w:rPr>
          <w:b/>
          <w:sz w:val="21"/>
        </w:rPr>
        <w:t>El esquema descrito en el Caso 86 configura un ABUSO de las formas jurídicas en los términos del Art. 4 ter del Código Tributario. La constitución de la sociedad de profesionales D, sin que B y C ejerzan efectivamente labor profesional para ella, constituye una utilización inapropiada de una figura societaria especial, cuyo único efecto relevante es la reducción artificial de la carga tributaria de A en el IGC.</w:t>
      </w:r>
    </w:p>
    <w:p>
      <w:pPr>
        <w:jc w:val="both"/>
      </w:pPr>
      <w:r>
        <w:rPr>
          <w:b w:val="0"/>
          <w:sz w:val="21"/>
        </w:rPr>
        <w:t>Fundamentos centrales de la posición:</w:t>
      </w:r>
    </w:p>
    <w:p>
      <w:pPr>
        <w:pStyle w:val="ListBullet"/>
        <w:spacing w:after="40"/>
        <w:ind w:left="283"/>
      </w:pPr>
      <w:r>
        <w:rPr>
          <w:sz w:val="20"/>
        </w:rPr>
        <w:t>Incumplimiento de requisitos formales: D no califica como sociedad de profesionales según Circular N°21 de 1991 y N°50 de 2020 (no todos los socios ejercen su profesión para la sociedad).</w:t>
      </w:r>
    </w:p>
    <w:p>
      <w:pPr>
        <w:pStyle w:val="ListBullet"/>
        <w:spacing w:after="40"/>
        <w:ind w:left="283"/>
      </w:pPr>
      <w:r>
        <w:rPr>
          <w:sz w:val="20"/>
        </w:rPr>
        <w:t>Inexistencia de motivo económico válido: la participación de B y C no tiene justificación económica fuera de la dilución del IGC de A. El capital aportado es insignificante frente a los ingresos.</w:t>
      </w:r>
    </w:p>
    <w:p>
      <w:pPr>
        <w:pStyle w:val="ListBullet"/>
        <w:spacing w:after="40"/>
        <w:ind w:left="283"/>
      </w:pPr>
      <w:r>
        <w:rPr>
          <w:sz w:val="20"/>
        </w:rPr>
        <w:t>Configuración del Art. 4 ter CT: se evita parcialmente el hecho gravado del IGC en su tramo marginal más alto, mediante un acto que no produce efectos jurídicos ni económicos relevantes distintos del meramente tributario.</w:t>
      </w:r>
    </w:p>
    <w:p>
      <w:pPr>
        <w:pStyle w:val="ListBullet"/>
        <w:spacing w:after="40"/>
        <w:ind w:left="283"/>
      </w:pPr>
      <w:r>
        <w:rPr>
          <w:sz w:val="20"/>
        </w:rPr>
        <w:t>Descarte de simulación (Art. 4 quáter): no existe divergencia entre voluntad real y declarada. Los actos son reales pero la forma es abusiva, no simulada.</w:t>
      </w:r>
    </w:p>
    <w:p>
      <w:r>
        <w:br w:type="page"/>
      </w:r>
    </w:p>
    <w:p>
      <w:pPr>
        <w:spacing w:before="200" w:after="80"/>
        <w:pBdr>
          <w:bottom w:val="single" w:sz="8" w:space="1" w:color="2E6DA4"/>
        </w:pBdr>
      </w:pPr>
      <w:r>
        <w:rPr>
          <w:b/>
          <w:color w:val="1A3A5C"/>
          <w:sz w:val="24"/>
        </w:rPr>
        <w:t>V.  ALTERNATIVAS DE SOLUCIÓN AL CASO</w:t>
      </w:r>
    </w:p>
    <w:p>
      <w:pPr>
        <w:jc w:val="both"/>
      </w:pPr>
      <w:r>
        <w:rPr>
          <w:b w:val="0"/>
          <w:sz w:val="21"/>
        </w:rPr>
        <w:t>El grupo propone las siguientes alternativas legítimas de estructuración tributaria que permitirían al contribuyente A organizar su actividad profesional sin incurrir en abuso de formas jurídicas:</w:t>
      </w:r>
    </w:p>
    <w:p>
      <w:pPr>
        <w:spacing w:before="160" w:after="60"/>
      </w:pPr>
      <w:r>
        <w:rPr>
          <w:b/>
          <w:color w:val="2E6DA4"/>
          <w:sz w:val="22"/>
        </w:rPr>
        <w:t>Alternativa 1: Tributación directa como profesional independiente (Art. 42 N°2 LIR)</w:t>
      </w:r>
    </w:p>
    <w:p>
      <w:pPr>
        <w:jc w:val="both"/>
      </w:pPr>
      <w:r>
        <w:rPr>
          <w:b w:val="0"/>
          <w:sz w:val="21"/>
        </w:rPr>
        <w:t>El socio A puede ejercer su actividad profesional como persona natural independiente, emitiendo boletas de honorarios y declarando sus ingresos en segunda categoría. Tendrá derecho a deducir gastos efectivos o a optar por gastos presuntos (30% con tope de 15 UTA). Pagará IGC sobre la totalidad de los ingresos según tabla progresiva. Esta opción es la más simple y libre de cuestionamientos.</w:t>
      </w:r>
    </w:p>
    <w:p>
      <w:pPr>
        <w:spacing w:before="160" w:after="60"/>
      </w:pPr>
      <w:r>
        <w:rPr>
          <w:b/>
          <w:color w:val="2E6DA4"/>
          <w:sz w:val="22"/>
        </w:rPr>
        <w:t>Alternativa 2: Constitución de sociedad de profesionales con socios que efectivamente trabajen</w:t>
      </w:r>
    </w:p>
    <w:p>
      <w:pPr>
        <w:jc w:val="both"/>
      </w:pPr>
      <w:r>
        <w:rPr>
          <w:b w:val="0"/>
          <w:sz w:val="21"/>
        </w:rPr>
        <w:t>Si A tiene voluntad de asociarse con otros profesionales, debe hacerlo con personas que efectivamente ejerzan su profesión para la sociedad. Cada socio debe coadyuvar a la prestación del servicio profesional. En tal caso, D calificaría legítimamente como sociedad de profesionales, podrá optar por tributar en primera o segunda categoría, y la distribución de utilidades reflejará el trabajo aportado por cada uno.</w:t>
      </w:r>
    </w:p>
    <w:p>
      <w:pPr>
        <w:spacing w:before="160" w:after="60"/>
      </w:pPr>
      <w:r>
        <w:rPr>
          <w:b/>
          <w:color w:val="2E6DA4"/>
          <w:sz w:val="22"/>
        </w:rPr>
        <w:t>Alternativa 3: Distribución de utilidades proporcional al trabajo realmente prestado</w:t>
      </w:r>
    </w:p>
    <w:p>
      <w:pPr>
        <w:jc w:val="both"/>
      </w:pPr>
      <w:r>
        <w:rPr>
          <w:b w:val="0"/>
          <w:sz w:val="21"/>
        </w:rPr>
        <w:t>Si la sociedad se mantiene con A, B y C como socios, los estatutos pueden contemplar una distribución diferenciada de utilidades que reconozca la mayor contribución de A. Esto puede instrumentarse mediante: (i) participación social diferenciada (ej.: A 90%, B y C 5% cada uno) o (ii) sueldo patronal a A por el trabajo prestado, antes de repartir utilidades. La distribución debe reflejar la realidad económica del aporte.</w:t>
      </w:r>
    </w:p>
    <w:p>
      <w:pPr>
        <w:spacing w:before="160" w:after="60"/>
      </w:pPr>
      <w:r>
        <w:rPr>
          <w:b/>
          <w:color w:val="2E6DA4"/>
          <w:sz w:val="22"/>
        </w:rPr>
        <w:t>Alternativa 4: Sociedad por acciones (SpA) con régimen Pro Pyme 14D N°3</w:t>
      </w:r>
    </w:p>
    <w:p>
      <w:pPr>
        <w:jc w:val="both"/>
      </w:pPr>
      <w:r>
        <w:rPr>
          <w:b w:val="0"/>
          <w:sz w:val="21"/>
        </w:rPr>
        <w:t>Constituir una SpA acogida al régimen 14D N°3 (Pro Pyme General) con tasa IDPC del 25%, siempre que A sea el único accionista o que los demás accionistas tengan rol efectivamente económico. La SpA no tiene la restricción de la sociedad de profesionales pero exige sustancia económica real. Permite planificación de retiros y reinversión.</w:t>
      </w:r>
    </w:p>
    <w:p>
      <w:pPr>
        <w:spacing w:before="160" w:after="60"/>
      </w:pPr>
      <w:r>
        <w:rPr>
          <w:b/>
          <w:color w:val="2E6DA4"/>
          <w:sz w:val="22"/>
        </w:rPr>
        <w:t>Alternativa 5: Régimen Pro Pyme Transparente 14D N°8</w:t>
      </w:r>
    </w:p>
    <w:p>
      <w:pPr>
        <w:jc w:val="both"/>
      </w:pPr>
      <w:r>
        <w:rPr>
          <w:b w:val="0"/>
          <w:sz w:val="21"/>
        </w:rPr>
        <w:t>Si los socios son únicamente personas naturales, evaluar el régimen 14D N°8 (Transparencia Tributaria). La empresa no paga IDPC; los socios tributan directamente con IGC sobre su participación. Sin embargo, ATENCIÓN: este régimen no soluciona el problema de fondo si los socios B y C siguen siendo ficticios — el SII puede igualmente aplicar NGA. Solo es válida si B y C efectivamente aportan trabajo o sustancia económica.</w:t>
      </w:r>
    </w:p>
    <w:p>
      <w:pPr>
        <w:spacing w:before="200" w:after="80"/>
        <w:pBdr>
          <w:bottom w:val="single" w:sz="8" w:space="1" w:color="2E6DA4"/>
        </w:pBdr>
      </w:pPr>
      <w:r>
        <w:rPr>
          <w:b/>
          <w:color w:val="1A3A5C"/>
          <w:sz w:val="24"/>
        </w:rPr>
        <w:t>VI.  CONCLUSIONES</w:t>
      </w:r>
    </w:p>
    <w:p>
      <w:pPr>
        <w:jc w:val="both"/>
      </w:pPr>
      <w:r>
        <w:rPr>
          <w:b w:val="0"/>
          <w:sz w:val="21"/>
        </w:rPr>
        <w:t>1. El esquema descrito en el Caso 86 del Catálogo SII 2025 corresponde a un ABUSO de las formas jurídicas conforme al Art. 4 ter del Código Tributario. NO se trata de simulación, ya que los actos jurídicos son reales aunque inapropiados.</w:t>
      </w:r>
    </w:p>
    <w:p>
      <w:pPr>
        <w:jc w:val="both"/>
      </w:pPr>
      <w:r>
        <w:rPr>
          <w:b w:val="0"/>
          <w:sz w:val="21"/>
        </w:rPr>
        <w:t>2. La sociedad D no califica como sociedad de profesionales conforme a las Circulares N°21 de 1991 y N°50 de 2020, dado que B y C no ejercen sus profesiones para ella. Esta sola circunstancia ya genera un problema formal que cuestiona la opción de tributar en primera categoría.</w:t>
      </w:r>
    </w:p>
    <w:p>
      <w:pPr>
        <w:jc w:val="both"/>
      </w:pPr>
      <w:r>
        <w:rPr>
          <w:b w:val="0"/>
          <w:sz w:val="21"/>
        </w:rPr>
        <w:t>3. El SII, a requerimiento del Director, puede solicitar al Tribunal Tributario y Aduanero la declaración de abuso conforme al Art. 4 quinquies CT, con el efecto de recalificar el esquema y atribuir la totalidad de los ingresos a A para el cálculo del IGC, con los correspondientes intereses y multas.</w:t>
      </w:r>
    </w:p>
    <w:p>
      <w:pPr>
        <w:jc w:val="both"/>
      </w:pPr>
      <w:r>
        <w:rPr>
          <w:b w:val="0"/>
          <w:sz w:val="21"/>
        </w:rPr>
        <w:t>4. Existen alternativas legítimas de organización tributaria que el contribuyente A puede adoptar, según se ha expuesto en la sección V. La elección dependerá de la estrategia de negocio, las proyecciones de ingresos, la composición real del equipo profesional y los objetivos de planificación de retiros.</w:t>
      </w:r>
    </w:p>
    <w:p>
      <w:pPr>
        <w:jc w:val="both"/>
      </w:pPr>
      <w:r>
        <w:rPr>
          <w:b/>
          <w:sz w:val="21"/>
        </w:rPr>
        <w:t>5. Recomendación final: en una eventual fiscalización, el contribuyente debe estar preparado para acreditar la sustancia económica real del esquema. La sola existencia formal de la sociedad y de los socios B y C no será suficiente; el SII y los tribunales exigirán demostración del aporte efectivo de cada socio.</w:t>
      </w:r>
    </w:p>
    <w:p/>
    <w:p>
      <w:pPr>
        <w:jc w:val="center"/>
      </w:pPr>
      <w:r>
        <w:rPr>
          <w:color w:val="2E6DA4"/>
          <w:sz w:val="16"/>
        </w:rPr>
        <w:t>________________________________________________________________________________</w:t>
      </w:r>
    </w:p>
    <w:p>
      <w:pPr>
        <w:jc w:val="center"/>
      </w:pPr>
      <w:r>
        <w:rPr>
          <w:i/>
          <w:color w:val="555555"/>
          <w:sz w:val="16"/>
        </w:rPr>
        <w:t>Magíster en Dirección Tributaria — UVM · Caso 86 · Catálogo SII 2025</w:t>
        <w:br/>
        <w:t>Fuentes: DL 824 (LIR Art. 42 N°2); Código Tributario Arts. 4 bis, 4 ter, 4 quáter, 4 quinquies; Circular N°21 de 1991; Circular N°50 de 2020; Circular N°65 de 2015; Oficio N°2359 de 2022 SII.</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