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1A3A5C"/>
          <w:sz w:val="32"/>
        </w:rPr>
        <w:t>PLANIFICACIÓN TRIBUTARIA</w:t>
      </w:r>
    </w:p>
    <w:p>
      <w:pPr>
        <w:spacing w:before="0" w:after="120"/>
        <w:jc w:val="center"/>
      </w:pPr>
      <w:r>
        <w:rPr>
          <w:rFonts w:ascii="Times New Roman" w:hAnsi="Times New Roman"/>
          <w:b/>
          <w:i w:val="0"/>
          <w:color w:val="1A3A5C"/>
          <w:sz w:val="32"/>
        </w:rPr>
        <w:t>TRASPASO DE ACTIVOS ENTRE SOCIEDADES</w:t>
      </w:r>
    </w:p>
    <w:p>
      <w:pPr>
        <w:spacing w:after="80"/>
        <w:jc w:val="center"/>
      </w:pPr>
      <w:r>
        <w:rPr>
          <w:rFonts w:ascii="Times New Roman" w:hAnsi="Times New Roman"/>
          <w:b w:val="0"/>
          <w:i w:val="0"/>
          <w:color w:val="555555"/>
          <w:sz w:val="24"/>
        </w:rPr>
        <w:t>Enciende Producciones SpA → Nueva Sociedad</w:t>
      </w:r>
    </w:p>
    <w:p>
      <w:pPr>
        <w:spacing w:after="80"/>
        <w:jc w:val="center"/>
      </w:pPr>
      <w:r>
        <w:rPr>
          <w:rFonts w:ascii="Times New Roman" w:hAnsi="Times New Roman"/>
          <w:b w:val="0"/>
          <w:i w:val="0"/>
          <w:color w:val="555555"/>
          <w:sz w:val="24"/>
        </w:rPr>
        <w:t>Mismo grupo de accionistas · Sin tributación</w:t>
      </w:r>
    </w:p>
    <w:p>
      <w:pPr>
        <w:spacing w:after="400"/>
        <w:jc w:val="center"/>
      </w:pPr>
      <w:r>
        <w:rPr>
          <w:rFonts w:ascii="Times New Roman" w:hAnsi="Times New Roman"/>
          <w:b w:val="0"/>
          <w:i/>
          <w:color w:val="555555"/>
          <w:sz w:val="20"/>
        </w:rPr>
        <w:t>Elaborado por: Nicolás Muñoz Valdebenito  ·  Magíster en Dirección Tributaria — UVM</w:t>
      </w:r>
    </w:p>
    <w:p>
      <w:pPr>
        <w:spacing w:before="80" w:after="80"/>
      </w:pPr>
      <w:r>
        <w:rPr>
          <w:rFonts w:ascii="Times New Roman" w:hAnsi="Times New Roman"/>
          <w:b w:val="0"/>
          <w:i w:val="0"/>
          <w:color w:val="CCCCCC"/>
          <w:sz w:val="14"/>
        </w:rPr>
        <w:t>─────────────────────────────────────────────────────────────────────────────────────</w:t>
      </w:r>
    </w:p>
    <w:p>
      <w:pPr>
        <w:spacing w:before="320" w:after="80"/>
        <w:shd w:val="clear" w:color="auto" w:fill="1A3A5C"/>
      </w:pPr>
      <w:r>
        <w:rPr>
          <w:rFonts w:ascii="Calibri" w:hAnsi="Calibri"/>
          <w:b/>
          <w:i w:val="0"/>
          <w:color w:val="FFFFFF"/>
          <w:sz w:val="24"/>
        </w:rPr>
        <w:t xml:space="preserve">  I.  OBJETIVO Y PREMISA</w:t>
      </w:r>
    </w:p>
    <w:p>
      <w:pPr>
        <w:spacing w:before="40" w:after="120"/>
        <w:jc w:val="both"/>
      </w:pPr>
      <w:r>
        <w:rPr>
          <w:rFonts w:ascii="Times New Roman" w:hAnsi="Times New Roman"/>
          <w:b w:val="0"/>
          <w:i w:val="0"/>
          <w:color w:val="1C1C1C"/>
          <w:sz w:val="22"/>
        </w:rPr>
        <w:t>El presente informe analiza las implicancias tributarias y la vía óptima para traspasar activos desde Enciende Producciones SpA (RUT 77.019.731-7) a una nueva sociedad que tendrá idénticos accionistas: Diego Andrés Niño Carrasco (50%) y Rodrigo Alejandro Niño Carrasco (50%). El objetivo es ejecutar la reorganización sin generar renta imponible ni IVA, aprovechando las normas de reorganización empresarial del artículo 64 del Código Tributario.</w:t>
      </w:r>
    </w:p>
    <w:p>
      <w:pPr>
        <w:spacing w:before="320" w:after="80"/>
        <w:shd w:val="clear" w:color="auto" w:fill="1A3A5C"/>
      </w:pPr>
      <w:r>
        <w:rPr>
          <w:rFonts w:ascii="Calibri" w:hAnsi="Calibri"/>
          <w:b/>
          <w:i w:val="0"/>
          <w:color w:val="FFFFFF"/>
          <w:sz w:val="24"/>
        </w:rPr>
        <w:t xml:space="preserve">  II.  MARCO NORMATIVO APLICABLE</w:t>
      </w:r>
    </w:p>
    <w:p>
      <w:pPr>
        <w:spacing w:before="240" w:after="60"/>
      </w:pPr>
      <w:r>
        <w:rPr>
          <w:rFonts w:ascii="Times New Roman" w:hAnsi="Times New Roman"/>
          <w:b/>
          <w:i w:val="0"/>
          <w:color w:val="1A3A5C"/>
          <w:sz w:val="24"/>
        </w:rPr>
        <w:t>A)  Artículo 64 Código Tributario — La regla central</w:t>
      </w:r>
    </w:p>
    <w:p>
      <w:pPr>
        <w:spacing w:before="40" w:after="120"/>
        <w:jc w:val="both"/>
      </w:pPr>
      <w:r>
        <w:rPr>
          <w:rFonts w:ascii="Times New Roman" w:hAnsi="Times New Roman"/>
          <w:b w:val="0"/>
          <w:i w:val="0"/>
          <w:color w:val="1C1C1C"/>
          <w:sz w:val="22"/>
        </w:rPr>
        <w:t>El artículo 64 inciso 4° y 5° CT establece la excepción a la tasación del SII cuando se cumplan copulativamente los siguientes requisitos:</w:t>
      </w:r>
    </w:p>
    <w:tbl>
      <w:tblPr>
        <w:tblStyle w:val="TableGrid"/>
        <w:tblW w:type="auto" w:w="0"/>
        <w:tblLook w:firstColumn="1" w:firstRow="1" w:lastColumn="0" w:lastRow="0" w:noHBand="0" w:noVBand="1" w:val="04A0"/>
      </w:tblPr>
      <w:tblGrid>
        <w:gridCol w:w="4561"/>
        <w:gridCol w:w="4561"/>
      </w:tblGrid>
      <w:tr>
        <w:tc>
          <w:tcPr>
            <w:tcW w:type="dxa" w:w="2551"/>
            <w:shd w:val="clear" w:color="auto" w:fill="1A3A5C"/>
          </w:tcPr>
          <w:p>
            <w:r>
              <w:rPr>
                <w:rFonts w:ascii="Calibri" w:hAnsi="Calibri"/>
                <w:b/>
                <w:i w:val="0"/>
                <w:color w:val="FFFFFF"/>
                <w:sz w:val="20"/>
              </w:rPr>
              <w:t>Requisito</w:t>
            </w:r>
          </w:p>
        </w:tc>
        <w:tc>
          <w:tcPr>
            <w:tcW w:type="dxa" w:w="6236"/>
            <w:shd w:val="clear" w:color="auto" w:fill="1A3A5C"/>
          </w:tcPr>
          <w:p>
            <w:r>
              <w:rPr>
                <w:rFonts w:ascii="Calibri" w:hAnsi="Calibri"/>
                <w:b/>
                <w:i w:val="0"/>
                <w:color w:val="FFFFFF"/>
                <w:sz w:val="20"/>
              </w:rPr>
              <w:t>Descripción</w:t>
            </w:r>
          </w:p>
        </w:tc>
      </w:tr>
      <w:tr>
        <w:tc>
          <w:tcPr>
            <w:tcW w:type="dxa" w:w="2551"/>
          </w:tcPr>
          <w:p>
            <w:r>
              <w:rPr>
                <w:rFonts w:ascii="Calibri" w:hAnsi="Calibri"/>
                <w:b w:val="0"/>
                <w:i w:val="0"/>
                <w:color w:val="1C1C1C"/>
                <w:sz w:val="20"/>
              </w:rPr>
              <w:t>1. Reorganización empresarial</w:t>
            </w:r>
          </w:p>
        </w:tc>
        <w:tc>
          <w:tcPr>
            <w:tcW w:type="dxa" w:w="6236"/>
          </w:tcPr>
          <w:p>
            <w:r>
              <w:rPr>
                <w:rFonts w:ascii="Calibri" w:hAnsi="Calibri"/>
                <w:b w:val="0"/>
                <w:i w:val="0"/>
                <w:color w:val="1C1C1C"/>
                <w:sz w:val="20"/>
              </w:rPr>
              <w:t>División, fusión, transformación o aporte dentro de un proceso de reorganización con legítima razón de negocios.</w:t>
            </w:r>
          </w:p>
        </w:tc>
      </w:tr>
      <w:tr>
        <w:tc>
          <w:tcPr>
            <w:tcW w:type="dxa" w:w="2551"/>
          </w:tcPr>
          <w:p>
            <w:r>
              <w:rPr>
                <w:rFonts w:ascii="Calibri" w:hAnsi="Calibri"/>
                <w:b w:val="0"/>
                <w:i w:val="0"/>
                <w:color w:val="1C1C1C"/>
                <w:sz w:val="20"/>
              </w:rPr>
              <w:t>2. Mismo grupo empresarial</w:t>
            </w:r>
          </w:p>
        </w:tc>
        <w:tc>
          <w:tcPr>
            <w:tcW w:type="dxa" w:w="6236"/>
          </w:tcPr>
          <w:p>
            <w:r>
              <w:rPr>
                <w:rFonts w:ascii="Calibri" w:hAnsi="Calibri"/>
                <w:b w:val="0"/>
                <w:i w:val="0"/>
                <w:color w:val="1C1C1C"/>
                <w:sz w:val="20"/>
              </w:rPr>
              <w:t>Los activos deben quedar dentro del mismo grupo (mismos dueños en misma proporción).</w:t>
            </w:r>
          </w:p>
        </w:tc>
      </w:tr>
      <w:tr>
        <w:tc>
          <w:tcPr>
            <w:tcW w:type="dxa" w:w="2551"/>
          </w:tcPr>
          <w:p>
            <w:r>
              <w:rPr>
                <w:rFonts w:ascii="Calibri" w:hAnsi="Calibri"/>
                <w:b w:val="0"/>
                <w:i w:val="0"/>
                <w:color w:val="1C1C1C"/>
                <w:sz w:val="20"/>
              </w:rPr>
              <w:t>3. Sin flujo de caja</w:t>
            </w:r>
          </w:p>
        </w:tc>
        <w:tc>
          <w:tcPr>
            <w:tcW w:type="dxa" w:w="6236"/>
          </w:tcPr>
          <w:p>
            <w:r>
              <w:rPr>
                <w:rFonts w:ascii="Calibri" w:hAnsi="Calibri"/>
                <w:b w:val="0"/>
                <w:i w:val="0"/>
                <w:color w:val="1C1C1C"/>
                <w:sz w:val="20"/>
              </w:rPr>
              <w:t>No puede haber pago de precio en dinero — el traspaso es a cambio de participación en la nueva sociedad.</w:t>
            </w:r>
          </w:p>
        </w:tc>
      </w:tr>
      <w:tr>
        <w:tc>
          <w:tcPr>
            <w:tcW w:type="dxa" w:w="2551"/>
          </w:tcPr>
          <w:p>
            <w:r>
              <w:rPr>
                <w:rFonts w:ascii="Calibri" w:hAnsi="Calibri"/>
                <w:b w:val="0"/>
                <w:i w:val="0"/>
                <w:color w:val="1C1C1C"/>
                <w:sz w:val="20"/>
              </w:rPr>
              <w:t>4. Valor tributario</w:t>
            </w:r>
          </w:p>
        </w:tc>
        <w:tc>
          <w:tcPr>
            <w:tcW w:type="dxa" w:w="6236"/>
          </w:tcPr>
          <w:p>
            <w:r>
              <w:rPr>
                <w:rFonts w:ascii="Calibri" w:hAnsi="Calibri"/>
                <w:b w:val="0"/>
                <w:i w:val="0"/>
                <w:color w:val="1C1C1C"/>
                <w:sz w:val="20"/>
              </w:rPr>
              <w:t>Los activos deben registrarse en la nueva entidad al mismo valor tributario que tenían en la sociedad original.</w:t>
            </w:r>
          </w:p>
        </w:tc>
      </w:tr>
      <w:tr>
        <w:tc>
          <w:tcPr>
            <w:tcW w:type="dxa" w:w="2551"/>
          </w:tcPr>
          <w:p>
            <w:r>
              <w:rPr>
                <w:rFonts w:ascii="Calibri" w:hAnsi="Calibri"/>
                <w:b w:val="0"/>
                <w:i w:val="0"/>
                <w:color w:val="1C1C1C"/>
                <w:sz w:val="20"/>
              </w:rPr>
              <w:t>5. Legítima razón de negocios</w:t>
            </w:r>
          </w:p>
        </w:tc>
        <w:tc>
          <w:tcPr>
            <w:tcW w:type="dxa" w:w="6236"/>
          </w:tcPr>
          <w:p>
            <w:r>
              <w:rPr>
                <w:rFonts w:ascii="Calibri" w:hAnsi="Calibri"/>
                <w:b w:val="0"/>
                <w:i w:val="0"/>
                <w:color w:val="1C1C1C"/>
                <w:sz w:val="20"/>
              </w:rPr>
              <w:t>Debe existir una justificación económica real, no solo tributaria (Circular N°45/2001, N°17/2015 SII).</w:t>
            </w:r>
          </w:p>
        </w:tc>
      </w:tr>
    </w:tbl>
    <w:p/>
    <w:p>
      <w:pPr>
        <w:spacing w:before="40" w:after="120"/>
        <w:jc w:val="both"/>
      </w:pPr>
      <w:r>
        <w:rPr>
          <w:rFonts w:ascii="Times New Roman" w:hAnsi="Times New Roman"/>
          <w:b w:val="0"/>
          <w:i w:val="0"/>
          <w:color w:val="1C1C1C"/>
          <w:sz w:val="22"/>
        </w:rPr>
        <w:t>Si se cumplen estas condiciones, el SII no puede tasar la operación y el traspaso no genera Impuesto de Primera Categoría (IDPC) ni Impuesto Global Complementario (IGC).</w:t>
      </w:r>
    </w:p>
    <w:p>
      <w:pPr>
        <w:spacing w:before="320" w:after="80"/>
        <w:shd w:val="clear" w:color="auto" w:fill="1A3A5C"/>
      </w:pPr>
      <w:r>
        <w:rPr>
          <w:rFonts w:ascii="Calibri" w:hAnsi="Calibri"/>
          <w:b/>
          <w:i w:val="0"/>
          <w:color w:val="FFFFFF"/>
          <w:sz w:val="24"/>
        </w:rPr>
        <w:t xml:space="preserve">  III.  VÍAS DISPONIBLES PARA ENCIENDE</w:t>
      </w:r>
    </w:p>
    <w:p>
      <w:pPr>
        <w:spacing w:before="240" w:after="60"/>
      </w:pPr>
      <w:r>
        <w:rPr>
          <w:rFonts w:ascii="Times New Roman" w:hAnsi="Times New Roman"/>
          <w:b/>
          <w:i w:val="0"/>
          <w:color w:val="1A3A5C"/>
          <w:sz w:val="24"/>
        </w:rPr>
        <w:t>Vía 1 — División de Sociedad  (Recomendada)</w:t>
      </w:r>
    </w:p>
    <w:p>
      <w:pPr>
        <w:spacing w:before="40" w:after="120"/>
        <w:jc w:val="both"/>
      </w:pPr>
      <w:r>
        <w:rPr>
          <w:rFonts w:ascii="Times New Roman" w:hAnsi="Times New Roman"/>
          <w:b w:val="0"/>
          <w:i w:val="0"/>
          <w:color w:val="1C1C1C"/>
          <w:sz w:val="22"/>
        </w:rPr>
        <w:t>Base legal: Arts. 94 a 100 Ley N°18.046 (aplicable a SpA por Art. 424 Código de Comercio), Art. 64 CT.</w:t>
      </w:r>
    </w:p>
    <w:p>
      <w:pPr>
        <w:spacing w:before="40" w:after="120"/>
        <w:jc w:val="both"/>
      </w:pPr>
      <w:r>
        <w:rPr>
          <w:rFonts w:ascii="Times New Roman" w:hAnsi="Times New Roman"/>
          <w:b w:val="0"/>
          <w:i w:val="0"/>
          <w:color w:val="1C1C1C"/>
          <w:sz w:val="22"/>
        </w:rPr>
        <w:t>Enciende SpA se divide en dos entidades: (1) Enciende SpA, que mantiene las operaciones y el giro habitual, y (2) Nueva SpA, que recibe los activos seleccionados. Los accionistas conservan exactamente la misma proporción (50%/50%) en ambas sociedades. Los activos se traspasan al valor tributario neto registrado en Enciende, sin flujo de dinero.</w:t>
      </w:r>
    </w:p>
    <w:p>
      <w:pPr>
        <w:spacing w:before="40" w:after="120"/>
        <w:jc w:val="both"/>
      </w:pPr>
      <w:r>
        <w:rPr>
          <w:rFonts w:ascii="Times New Roman" w:hAnsi="Times New Roman"/>
          <w:b w:val="0"/>
          <w:i w:val="0"/>
          <w:color w:val="1C1C1C"/>
          <w:sz w:val="22"/>
        </w:rPr>
        <w:t>Ventajas tributarias de esta vía:</w:t>
      </w:r>
    </w:p>
    <w:p>
      <w:pPr>
        <w:pStyle w:val="ListBullet"/>
        <w:spacing w:before="20" w:after="40"/>
        <w:ind w:left="283"/>
      </w:pPr>
      <w:r>
        <w:rPr>
          <w:rFonts w:ascii="Times New Roman" w:hAnsi="Times New Roman"/>
          <w:b w:val="0"/>
          <w:i w:val="0"/>
          <w:color w:val="1C1C1C"/>
          <w:sz w:val="22"/>
        </w:rPr>
        <w:t>No hay enajenación → no hay renta → cero IDPC y cero IGC.</w:t>
      </w:r>
    </w:p>
    <w:p>
      <w:pPr>
        <w:pStyle w:val="ListBullet"/>
        <w:spacing w:before="20" w:after="40"/>
        <w:ind w:left="283"/>
      </w:pPr>
      <w:r>
        <w:rPr>
          <w:rFonts w:ascii="Times New Roman" w:hAnsi="Times New Roman"/>
          <w:b w:val="0"/>
          <w:i w:val="0"/>
          <w:color w:val="1C1C1C"/>
          <w:sz w:val="22"/>
        </w:rPr>
        <w:t>No hay venta → cero IVA.</w:t>
      </w:r>
    </w:p>
    <w:p>
      <w:pPr>
        <w:pStyle w:val="ListBullet"/>
        <w:spacing w:before="20" w:after="40"/>
        <w:ind w:left="283"/>
      </w:pPr>
      <w:r>
        <w:rPr>
          <w:rFonts w:ascii="Times New Roman" w:hAnsi="Times New Roman"/>
          <w:b w:val="0"/>
          <w:i w:val="0"/>
          <w:color w:val="1C1C1C"/>
          <w:sz w:val="22"/>
        </w:rPr>
        <w:t>El SII no puede tasar (Art. 64 CT) al cumplirse todos los requisitos.</w:t>
      </w:r>
    </w:p>
    <w:p>
      <w:pPr>
        <w:pStyle w:val="ListBullet"/>
        <w:spacing w:before="20" w:after="40"/>
        <w:ind w:left="283"/>
      </w:pPr>
      <w:r>
        <w:rPr>
          <w:rFonts w:ascii="Times New Roman" w:hAnsi="Times New Roman"/>
          <w:b w:val="0"/>
          <w:i w:val="0"/>
          <w:color w:val="1C1C1C"/>
          <w:sz w:val="22"/>
        </w:rPr>
        <w:t>Las pérdidas tributarias de Enciende se distribuyen proporcionalmente entre ambas entidades.</w:t>
      </w:r>
    </w:p>
    <w:p>
      <w:pPr>
        <w:spacing w:before="40" w:after="120"/>
        <w:jc w:val="both"/>
      </w:pPr>
      <w:r>
        <w:rPr>
          <w:rFonts w:ascii="Times New Roman" w:hAnsi="Times New Roman"/>
          <w:b w:val="0"/>
          <w:i w:val="0"/>
          <w:color w:val="1C1C1C"/>
          <w:sz w:val="22"/>
        </w:rPr>
        <w:t>Limitación relevante: la nueva sociedad hereda el valor tributario de los activos. Los equipos de sonido, iluminación y estructuras que fueron cargados a gasto al adquirirse no existen contablemente como activos — no pueden traspasarse por esta vía sin riesgo tributario.</w:t>
      </w:r>
    </w:p>
    <w:p>
      <w:pPr>
        <w:spacing w:before="240" w:after="60"/>
      </w:pPr>
      <w:r>
        <w:rPr>
          <w:rFonts w:ascii="Times New Roman" w:hAnsi="Times New Roman"/>
          <w:b/>
          <w:i w:val="0"/>
          <w:color w:val="1A3A5C"/>
          <w:sz w:val="24"/>
        </w:rPr>
        <w:t>Vía 2 — Aporte de Activos a Sociedad Nueva  (Art. 64 CT)</w:t>
      </w:r>
    </w:p>
    <w:p>
      <w:pPr>
        <w:spacing w:before="40" w:after="120"/>
        <w:jc w:val="both"/>
      </w:pPr>
      <w:r>
        <w:rPr>
          <w:rFonts w:ascii="Times New Roman" w:hAnsi="Times New Roman"/>
          <w:b w:val="0"/>
          <w:i w:val="0"/>
          <w:color w:val="1C1C1C"/>
          <w:sz w:val="22"/>
        </w:rPr>
        <w:t>Enciende crea una nueva SpA y aporta activos específicos como capital, recibiendo acciones de la nueva empresa. El aporte se valoriza al valor tributario de los activos (no al comercial). A diferencia de la División, en este caso Enciende queda como accionista (matriz) de la nueva sociedad. Conviene cuando el objetivo es mantener una estructura holding o traspasar solo algunos activos específicos, no dividir la totalidad del patrimonio.</w:t>
      </w:r>
    </w:p>
    <w:p>
      <w:pPr>
        <w:spacing w:before="40" w:after="120"/>
        <w:jc w:val="both"/>
      </w:pPr>
      <w:r>
        <w:rPr>
          <w:rFonts w:ascii="Times New Roman" w:hAnsi="Times New Roman"/>
          <w:b w:val="0"/>
          <w:i w:val="0"/>
          <w:color w:val="1C1C1C"/>
          <w:sz w:val="22"/>
        </w:rPr>
        <w:t>Riesgo adicional para Enciende: dado el Control Precautorio SII por IVA ($19,05M) y los flujos sin respaldo ($280,5M), un aporte puede ser revisado con mayor intensidad que una división formal, que tiene mayor protección procesal.</w:t>
      </w:r>
    </w:p>
    <w:p>
      <w:pPr>
        <w:spacing w:before="240" w:after="60"/>
      </w:pPr>
      <w:r>
        <w:rPr>
          <w:rFonts w:ascii="Times New Roman" w:hAnsi="Times New Roman"/>
          <w:b/>
          <w:i w:val="0"/>
          <w:color w:val="1A3A5C"/>
          <w:sz w:val="24"/>
        </w:rPr>
        <w:t>Vía 3 — Fusión por Absorción  (No recomendada)</w:t>
      </w:r>
    </w:p>
    <w:p>
      <w:pPr>
        <w:spacing w:before="40" w:after="120"/>
        <w:jc w:val="both"/>
      </w:pPr>
      <w:r>
        <w:rPr>
          <w:rFonts w:ascii="Times New Roman" w:hAnsi="Times New Roman"/>
          <w:b w:val="0"/>
          <w:i w:val="0"/>
          <w:color w:val="1C1C1C"/>
          <w:sz w:val="22"/>
        </w:rPr>
        <w:t>No aplica al objetivo del caso, ya que la fusión busca consolidar entidades, no separarlas. Se descarta.</w:t>
      </w:r>
    </w:p>
    <w:p>
      <w:pPr>
        <w:spacing w:before="320" w:after="80"/>
        <w:shd w:val="clear" w:color="auto" w:fill="1A3A5C"/>
      </w:pPr>
      <w:r>
        <w:rPr>
          <w:rFonts w:ascii="Calibri" w:hAnsi="Calibri"/>
          <w:b/>
          <w:i w:val="0"/>
          <w:color w:val="FFFFFF"/>
          <w:sz w:val="24"/>
        </w:rPr>
        <w:t xml:space="preserve">  IV.  ACTIVOS QUE PUEDEN TRASPASARSE</w:t>
      </w:r>
    </w:p>
    <w:p>
      <w:pPr>
        <w:spacing w:before="240" w:after="60"/>
      </w:pPr>
      <w:r>
        <w:rPr>
          <w:rFonts w:ascii="Times New Roman" w:hAnsi="Times New Roman"/>
          <w:b/>
          <w:i w:val="0"/>
          <w:color w:val="1A3A5C"/>
          <w:sz w:val="24"/>
        </w:rPr>
        <w:t>4.1  Activos registrados en balance — aptos para el traspaso</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1A3A5C"/>
          </w:tcPr>
          <w:p>
            <w:r>
              <w:rPr>
                <w:rFonts w:ascii="Calibri" w:hAnsi="Calibri"/>
                <w:b/>
                <w:i w:val="0"/>
                <w:color w:val="FFFFFF"/>
                <w:sz w:val="20"/>
              </w:rPr>
              <w:t>Activo</w:t>
            </w:r>
          </w:p>
        </w:tc>
        <w:tc>
          <w:tcPr>
            <w:tcW w:type="dxa" w:w="2268"/>
            <w:shd w:val="clear" w:color="auto" w:fill="1A3A5C"/>
          </w:tcPr>
          <w:p>
            <w:r>
              <w:rPr>
                <w:rFonts w:ascii="Calibri" w:hAnsi="Calibri"/>
                <w:b/>
                <w:i w:val="0"/>
                <w:color w:val="FFFFFF"/>
                <w:sz w:val="20"/>
              </w:rPr>
              <w:t>Valor Tributario</w:t>
            </w:r>
          </w:p>
        </w:tc>
        <w:tc>
          <w:tcPr>
            <w:tcW w:type="dxa" w:w="3402"/>
            <w:shd w:val="clear" w:color="auto" w:fill="1A3A5C"/>
          </w:tcPr>
          <w:p>
            <w:r>
              <w:rPr>
                <w:rFonts w:ascii="Calibri" w:hAnsi="Calibri"/>
                <w:b/>
                <w:i w:val="0"/>
                <w:color w:val="FFFFFF"/>
                <w:sz w:val="20"/>
              </w:rPr>
              <w:t>Observación</w:t>
            </w:r>
          </w:p>
        </w:tc>
      </w:tr>
      <w:tr>
        <w:tc>
          <w:tcPr>
            <w:tcW w:type="dxa" w:w="3118"/>
          </w:tcPr>
          <w:p>
            <w:r>
              <w:rPr>
                <w:rFonts w:ascii="Calibri" w:hAnsi="Calibri"/>
                <w:b w:val="0"/>
                <w:i w:val="0"/>
                <w:color w:val="1C1C1C"/>
                <w:sz w:val="20"/>
              </w:rPr>
              <w:t>Vehículos</w:t>
            </w:r>
          </w:p>
        </w:tc>
        <w:tc>
          <w:tcPr>
            <w:tcW w:type="dxa" w:w="2268"/>
          </w:tcPr>
          <w:p>
            <w:r>
              <w:rPr>
                <w:rFonts w:ascii="Calibri" w:hAnsi="Calibri"/>
                <w:b w:val="0"/>
                <w:i w:val="0"/>
                <w:color w:val="1C1C1C"/>
                <w:sz w:val="20"/>
              </w:rPr>
              <w:t>$15.200.000</w:t>
            </w:r>
          </w:p>
        </w:tc>
        <w:tc>
          <w:tcPr>
            <w:tcW w:type="dxa" w:w="3402"/>
          </w:tcPr>
          <w:p>
            <w:r>
              <w:rPr>
                <w:rFonts w:ascii="Calibri" w:hAnsi="Calibri"/>
                <w:b w:val="0"/>
                <w:i w:val="0"/>
                <w:color w:val="1C1C1C"/>
                <w:sz w:val="20"/>
              </w:rPr>
              <w:t>Verificar si el crédito asociado es deuda personal del socio o de la empresa.</w:t>
            </w:r>
          </w:p>
        </w:tc>
      </w:tr>
      <w:tr>
        <w:tc>
          <w:tcPr>
            <w:tcW w:type="dxa" w:w="3118"/>
          </w:tcPr>
          <w:p>
            <w:r>
              <w:rPr>
                <w:rFonts w:ascii="Calibri" w:hAnsi="Calibri"/>
                <w:b w:val="0"/>
                <w:i w:val="0"/>
                <w:color w:val="1C1C1C"/>
                <w:sz w:val="20"/>
              </w:rPr>
              <w:t>Instrumentos musicales</w:t>
            </w:r>
          </w:p>
        </w:tc>
        <w:tc>
          <w:tcPr>
            <w:tcW w:type="dxa" w:w="2268"/>
          </w:tcPr>
          <w:p>
            <w:r>
              <w:rPr>
                <w:rFonts w:ascii="Calibri" w:hAnsi="Calibri"/>
                <w:b w:val="0"/>
                <w:i w:val="0"/>
                <w:color w:val="1C1C1C"/>
                <w:sz w:val="20"/>
              </w:rPr>
              <w:t>$1.800.000</w:t>
            </w:r>
          </w:p>
        </w:tc>
        <w:tc>
          <w:tcPr>
            <w:tcW w:type="dxa" w:w="3402"/>
          </w:tcPr>
          <w:p>
            <w:r>
              <w:rPr>
                <w:rFonts w:ascii="Calibri" w:hAnsi="Calibri"/>
                <w:b w:val="0"/>
                <w:i w:val="0"/>
                <w:color w:val="1C1C1C"/>
                <w:sz w:val="20"/>
              </w:rPr>
              <w:t>Apto para traspasar.</w:t>
            </w:r>
          </w:p>
        </w:tc>
      </w:tr>
      <w:tr>
        <w:tc>
          <w:tcPr>
            <w:tcW w:type="dxa" w:w="3118"/>
          </w:tcPr>
          <w:p>
            <w:r>
              <w:rPr>
                <w:rFonts w:ascii="Calibri" w:hAnsi="Calibri"/>
                <w:b w:val="0"/>
                <w:i w:val="0"/>
                <w:color w:val="1C1C1C"/>
                <w:sz w:val="20"/>
              </w:rPr>
              <w:t>Muebles y enseres</w:t>
            </w:r>
          </w:p>
        </w:tc>
        <w:tc>
          <w:tcPr>
            <w:tcW w:type="dxa" w:w="2268"/>
          </w:tcPr>
          <w:p>
            <w:r>
              <w:rPr>
                <w:rFonts w:ascii="Calibri" w:hAnsi="Calibri"/>
                <w:b w:val="0"/>
                <w:i w:val="0"/>
                <w:color w:val="1C1C1C"/>
                <w:sz w:val="20"/>
              </w:rPr>
              <w:t>$170.000</w:t>
            </w:r>
          </w:p>
        </w:tc>
        <w:tc>
          <w:tcPr>
            <w:tcW w:type="dxa" w:w="3402"/>
          </w:tcPr>
          <w:p>
            <w:r>
              <w:rPr>
                <w:rFonts w:ascii="Calibri" w:hAnsi="Calibri"/>
                <w:b w:val="0"/>
                <w:i w:val="0"/>
                <w:color w:val="1C1C1C"/>
                <w:sz w:val="20"/>
              </w:rPr>
              <w:t>Apto para traspasar.</w:t>
            </w:r>
          </w:p>
        </w:tc>
      </w:tr>
      <w:tr>
        <w:tc>
          <w:tcPr>
            <w:tcW w:type="dxa" w:w="3118"/>
          </w:tcPr>
          <w:p>
            <w:r>
              <w:rPr>
                <w:rFonts w:ascii="Calibri" w:hAnsi="Calibri"/>
                <w:b w:val="0"/>
                <w:i w:val="0"/>
                <w:color w:val="1C1C1C"/>
                <w:sz w:val="20"/>
              </w:rPr>
              <w:t>Equipos computacionales (2026)</w:t>
            </w:r>
          </w:p>
        </w:tc>
        <w:tc>
          <w:tcPr>
            <w:tcW w:type="dxa" w:w="2268"/>
          </w:tcPr>
          <w:p>
            <w:r>
              <w:rPr>
                <w:rFonts w:ascii="Calibri" w:hAnsi="Calibri"/>
                <w:b w:val="0"/>
                <w:i w:val="0"/>
                <w:color w:val="1C1C1C"/>
                <w:sz w:val="20"/>
              </w:rPr>
              <w:t>$7.000.000</w:t>
            </w:r>
          </w:p>
        </w:tc>
        <w:tc>
          <w:tcPr>
            <w:tcW w:type="dxa" w:w="3402"/>
          </w:tcPr>
          <w:p>
            <w:r>
              <w:rPr>
                <w:rFonts w:ascii="Calibri" w:hAnsi="Calibri"/>
                <w:b w:val="0"/>
                <w:i w:val="0"/>
                <w:color w:val="1C1C1C"/>
                <w:sz w:val="20"/>
              </w:rPr>
              <w:t>Apto para traspasar.</w:t>
            </w:r>
          </w:p>
        </w:tc>
      </w:tr>
      <w:tr>
        <w:tc>
          <w:tcPr>
            <w:tcW w:type="dxa" w:w="3118"/>
          </w:tcPr>
          <w:p>
            <w:r>
              <w:rPr>
                <w:rFonts w:ascii="Calibri" w:hAnsi="Calibri"/>
                <w:b w:val="0"/>
                <w:i w:val="0"/>
                <w:color w:val="1C1C1C"/>
                <w:sz w:val="20"/>
              </w:rPr>
              <w:t>Muebles 2026</w:t>
            </w:r>
          </w:p>
        </w:tc>
        <w:tc>
          <w:tcPr>
            <w:tcW w:type="dxa" w:w="2268"/>
          </w:tcPr>
          <w:p>
            <w:r>
              <w:rPr>
                <w:rFonts w:ascii="Calibri" w:hAnsi="Calibri"/>
                <w:b w:val="0"/>
                <w:i w:val="0"/>
                <w:color w:val="1C1C1C"/>
                <w:sz w:val="20"/>
              </w:rPr>
              <w:t>$700.000</w:t>
            </w:r>
          </w:p>
        </w:tc>
        <w:tc>
          <w:tcPr>
            <w:tcW w:type="dxa" w:w="3402"/>
          </w:tcPr>
          <w:p>
            <w:r>
              <w:rPr>
                <w:rFonts w:ascii="Calibri" w:hAnsi="Calibri"/>
                <w:b w:val="0"/>
                <w:i w:val="0"/>
                <w:color w:val="1C1C1C"/>
                <w:sz w:val="20"/>
              </w:rPr>
              <w:t>Apto para traspasar.</w:t>
            </w:r>
          </w:p>
        </w:tc>
      </w:tr>
      <w:tr>
        <w:tc>
          <w:tcPr>
            <w:tcW w:type="dxa" w:w="3118"/>
          </w:tcPr>
          <w:p>
            <w:r>
              <w:rPr>
                <w:rFonts w:ascii="Calibri" w:hAnsi="Calibri"/>
                <w:b w:val="0"/>
                <w:i w:val="0"/>
                <w:color w:val="1C1C1C"/>
                <w:sz w:val="20"/>
              </w:rPr>
              <w:t>TOTAL REGISTRADO</w:t>
            </w:r>
          </w:p>
        </w:tc>
        <w:tc>
          <w:tcPr>
            <w:tcW w:type="dxa" w:w="2268"/>
          </w:tcPr>
          <w:p>
            <w:r>
              <w:rPr>
                <w:rFonts w:ascii="Calibri" w:hAnsi="Calibri"/>
                <w:b w:val="0"/>
                <w:i w:val="0"/>
                <w:color w:val="1C1C1C"/>
                <w:sz w:val="20"/>
              </w:rPr>
              <w:t>~$24.870.000</w:t>
            </w:r>
          </w:p>
        </w:tc>
        <w:tc>
          <w:tcPr>
            <w:tcW w:type="dxa" w:w="3402"/>
          </w:tcPr>
          <w:p>
            <w:r>
              <w:rPr>
                <w:rFonts w:ascii="Calibri" w:hAnsi="Calibri"/>
                <w:b w:val="0"/>
                <w:i w:val="0"/>
                <w:color w:val="1C1C1C"/>
                <w:sz w:val="20"/>
              </w:rPr>
            </w:r>
          </w:p>
        </w:tc>
      </w:tr>
    </w:tbl>
    <w:p/>
    <w:p>
      <w:pPr>
        <w:spacing w:before="240" w:after="60"/>
      </w:pPr>
      <w:r>
        <w:rPr>
          <w:rFonts w:ascii="Times New Roman" w:hAnsi="Times New Roman"/>
          <w:b/>
          <w:i w:val="0"/>
          <w:color w:val="1A3A5C"/>
          <w:sz w:val="24"/>
        </w:rPr>
        <w:t>4.2  Activos no registrados — requieren tratamiento previo</w:t>
      </w:r>
    </w:p>
    <w:p>
      <w:pPr>
        <w:spacing w:before="40" w:after="120"/>
        <w:jc w:val="both"/>
      </w:pPr>
      <w:r>
        <w:rPr>
          <w:rFonts w:ascii="Times New Roman" w:hAnsi="Times New Roman"/>
          <w:b w:val="0"/>
          <w:i w:val="0"/>
          <w:color w:val="1C1C1C"/>
          <w:sz w:val="22"/>
        </w:rPr>
        <w:t>Los equipos de sonido, iluminación y estructuras que fueron cargados a gasto al adquirirse no figuran en el activo fijo de Enciende. Para incluirlos en el traspaso existiría que revertir el gasto (alto riesgo tributario — SII puede impugnar) o hacer un inventario a valor comercial. Este segundo camino genera IVA y posiblemente IDPC, perdiendo el beneficio del Art. 64 CT.</w:t>
      </w:r>
    </w:p>
    <w:p>
      <w:pPr>
        <w:spacing w:before="40" w:after="120"/>
        <w:jc w:val="both"/>
      </w:pPr>
      <w:r>
        <w:rPr>
          <w:rFonts w:ascii="Times New Roman" w:hAnsi="Times New Roman"/>
          <w:b w:val="0"/>
          <w:i w:val="0"/>
          <w:color w:val="1C1C1C"/>
          <w:sz w:val="22"/>
        </w:rPr>
        <w:t>Recomendación: levantar un cardex completo y valorizado antes de ejecutar la reorganización. Sin este inventario no hay base cierta para fijar el valor de aporte ni para distribuir correctamente los pasivos.</w:t>
      </w:r>
    </w:p>
    <w:p>
      <w:pPr>
        <w:spacing w:before="320" w:after="80"/>
        <w:shd w:val="clear" w:color="auto" w:fill="1A3A5C"/>
      </w:pPr>
      <w:r>
        <w:rPr>
          <w:rFonts w:ascii="Calibri" w:hAnsi="Calibri"/>
          <w:b/>
          <w:i w:val="0"/>
          <w:color w:val="FFFFFF"/>
          <w:sz w:val="24"/>
        </w:rPr>
        <w:t xml:space="preserve">  V.  CONTINGENCIAS QUE DEBEN RESOLVERSE ANTES DEL TRASPASO</w:t>
      </w:r>
    </w:p>
    <w:p>
      <w:pPr>
        <w:spacing w:before="40" w:after="120"/>
        <w:jc w:val="both"/>
      </w:pPr>
      <w:r>
        <w:rPr>
          <w:rFonts w:ascii="Times New Roman" w:hAnsi="Times New Roman"/>
          <w:b w:val="0"/>
          <w:i w:val="0"/>
          <w:color w:val="1C1C1C"/>
          <w:sz w:val="22"/>
        </w:rPr>
        <w:t>Las siguientes situaciones pueden invalidar el beneficio del Art. 64 CT, exponer a impugnación por parte del SII, o simplemente bloquear los trámites de la reorganización:</w:t>
      </w:r>
    </w:p>
    <w:p>
      <w:pPr>
        <w:spacing w:before="160" w:after="40"/>
      </w:pPr>
      <w:r>
        <w:rPr>
          <w:rFonts w:ascii="Times New Roman" w:hAnsi="Times New Roman"/>
          <w:b/>
          <w:i w:val="0"/>
          <w:color w:val="E8500A"/>
          <w:sz w:val="22"/>
        </w:rPr>
        <w:t>⚠  1. Flujos a relacionados sin contrato ($280.500.000)</w:t>
      </w:r>
    </w:p>
    <w:p>
      <w:pPr>
        <w:spacing w:before="40" w:after="120"/>
        <w:jc w:val="both"/>
      </w:pPr>
      <w:r>
        <w:rPr>
          <w:rFonts w:ascii="Times New Roman" w:hAnsi="Times New Roman"/>
          <w:b w:val="0"/>
          <w:i w:val="0"/>
          <w:color w:val="1C1C1C"/>
          <w:sz w:val="22"/>
        </w:rPr>
        <w:t>Pagos a Ana María Lira ($215M), Espíritu Tecnológico ($21M), GH Setups ($13M), Inversiones A y D ($9M) y Los Acacios ($22M) no tienen contrato ni respaldo suficiente. El SII puede recaracterizarlos como retiros encubiertos (Art. 21 LIR), generando un impuesto único del 40% más recargos. Una reorganización ejecutada con esta contingencia activa puede ser vista como un mecanismo para evadir. Acción requerida: documentar contratos, prestaciones y pagos antes de reorganizar.</w:t>
      </w:r>
    </w:p>
    <w:p>
      <w:pPr>
        <w:spacing w:before="160" w:after="40"/>
      </w:pPr>
      <w:r>
        <w:rPr>
          <w:rFonts w:ascii="Times New Roman" w:hAnsi="Times New Roman"/>
          <w:b/>
          <w:i w:val="0"/>
          <w:color w:val="E8500A"/>
          <w:sz w:val="22"/>
        </w:rPr>
        <w:t>⚠  2. Control Precautorio SII por IVA ($19.050.000)</w:t>
      </w:r>
    </w:p>
    <w:p>
      <w:pPr>
        <w:spacing w:before="40" w:after="120"/>
        <w:jc w:val="both"/>
      </w:pPr>
      <w:r>
        <w:rPr>
          <w:rFonts w:ascii="Times New Roman" w:hAnsi="Times New Roman"/>
          <w:b w:val="0"/>
          <w:i w:val="0"/>
          <w:color w:val="1C1C1C"/>
          <w:sz w:val="22"/>
        </w:rPr>
        <w:t>El Control Precautorio puede bloquear el timbraje de documentos tributarios. La nueva sociedad requiere RUT, inicio de actividades y timbraje propio — si Enciende tiene bloqueos activos, esto puede complicarse o demorar el proceso. Acción requerida: resolver el Control Precautorio antes de iniciar el proceso de división.</w:t>
      </w:r>
    </w:p>
    <w:p>
      <w:pPr>
        <w:spacing w:before="160" w:after="40"/>
      </w:pPr>
      <w:r>
        <w:rPr>
          <w:rFonts w:ascii="Times New Roman" w:hAnsi="Times New Roman"/>
          <w:b/>
          <w:i w:val="0"/>
          <w:color w:val="E8500A"/>
          <w:sz w:val="22"/>
        </w:rPr>
        <w:t>⚠  3. Préstamo $27.000.000 de Consuelo Quinteros</w:t>
      </w:r>
    </w:p>
    <w:p>
      <w:pPr>
        <w:spacing w:before="40" w:after="120"/>
        <w:jc w:val="both"/>
      </w:pPr>
      <w:r>
        <w:rPr>
          <w:rFonts w:ascii="Times New Roman" w:hAnsi="Times New Roman"/>
          <w:b w:val="0"/>
          <w:i w:val="0"/>
          <w:color w:val="1C1C1C"/>
          <w:sz w:val="22"/>
        </w:rPr>
        <w:t>Esta deuda no está reflejada en el balance. Si en la división se traspasan activos sin reconocer el pasivo correspondiente, el SII podría objetar que se está transfiriendo valor neto sin distribuir correctamente las obligaciones. Acción requerida: formalizar con contrato de mutuo y registrar contablemente antes de la división.</w:t>
      </w:r>
    </w:p>
    <w:p>
      <w:pPr>
        <w:spacing w:before="160" w:after="40"/>
      </w:pPr>
      <w:r>
        <w:rPr>
          <w:rFonts w:ascii="Times New Roman" w:hAnsi="Times New Roman"/>
          <w:b/>
          <w:i w:val="0"/>
          <w:color w:val="E8500A"/>
          <w:sz w:val="22"/>
        </w:rPr>
        <w:t>⚠  4. IVA postergado ($14.470.000 — vencido 20-03-2026)</w:t>
      </w:r>
    </w:p>
    <w:p>
      <w:pPr>
        <w:spacing w:before="40" w:after="120"/>
        <w:jc w:val="both"/>
      </w:pPr>
      <w:r>
        <w:rPr>
          <w:rFonts w:ascii="Times New Roman" w:hAnsi="Times New Roman"/>
          <w:b w:val="0"/>
          <w:i w:val="0"/>
          <w:color w:val="1C1C1C"/>
          <w:sz w:val="22"/>
        </w:rPr>
        <w:t>Una deuda tributaria vencida puede generar notificaciones de incumplimiento que dificultan trámites ante el SII (inicio de actividades, modificaciones de sociedad). Acción requerida: regularizar el pago o negociar un convenio de pago con el SII.</w:t>
      </w:r>
    </w:p>
    <w:p>
      <w:pPr>
        <w:spacing w:before="320" w:after="80"/>
        <w:shd w:val="clear" w:color="auto" w:fill="1A3A5C"/>
      </w:pPr>
      <w:r>
        <w:rPr>
          <w:rFonts w:ascii="Calibri" w:hAnsi="Calibri"/>
          <w:b/>
          <w:i w:val="0"/>
          <w:color w:val="FFFFFF"/>
          <w:sz w:val="24"/>
        </w:rPr>
        <w:t xml:space="preserve">  VI.  TRATAMIENTO IVA DEL TRASPASO</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A3A5C"/>
          </w:tcPr>
          <w:p>
            <w:r>
              <w:rPr>
                <w:rFonts w:ascii="Calibri" w:hAnsi="Calibri"/>
                <w:b/>
                <w:i w:val="0"/>
                <w:color w:val="FFFFFF"/>
                <w:sz w:val="20"/>
              </w:rPr>
              <w:t>Vía de traspaso</w:t>
            </w:r>
          </w:p>
        </w:tc>
        <w:tc>
          <w:tcPr>
            <w:tcW w:type="dxa" w:w="1984"/>
            <w:shd w:val="clear" w:color="auto" w:fill="1A3A5C"/>
          </w:tcPr>
          <w:p>
            <w:r>
              <w:rPr>
                <w:rFonts w:ascii="Calibri" w:hAnsi="Calibri"/>
                <w:b/>
                <w:i w:val="0"/>
                <w:color w:val="FFFFFF"/>
                <w:sz w:val="20"/>
              </w:rPr>
              <w:t>¿Genera IVA?</w:t>
            </w:r>
          </w:p>
        </w:tc>
        <w:tc>
          <w:tcPr>
            <w:tcW w:type="dxa" w:w="3969"/>
            <w:shd w:val="clear" w:color="auto" w:fill="1A3A5C"/>
          </w:tcPr>
          <w:p>
            <w:r>
              <w:rPr>
                <w:rFonts w:ascii="Calibri" w:hAnsi="Calibri"/>
                <w:b/>
                <w:i w:val="0"/>
                <w:color w:val="FFFFFF"/>
                <w:sz w:val="20"/>
              </w:rPr>
              <w:t>Fundamento</w:t>
            </w:r>
          </w:p>
        </w:tc>
      </w:tr>
      <w:tr>
        <w:tc>
          <w:tcPr>
            <w:tcW w:type="dxa" w:w="2835"/>
          </w:tcPr>
          <w:p>
            <w:r>
              <w:rPr>
                <w:rFonts w:ascii="Calibri" w:hAnsi="Calibri"/>
                <w:b w:val="0"/>
                <w:i w:val="0"/>
                <w:color w:val="1C1C1C"/>
                <w:sz w:val="20"/>
              </w:rPr>
              <w:t>División de sociedad</w:t>
            </w:r>
          </w:p>
        </w:tc>
        <w:tc>
          <w:tcPr>
            <w:tcW w:type="dxa" w:w="1984"/>
          </w:tcPr>
          <w:p>
            <w:r>
              <w:rPr>
                <w:rFonts w:ascii="Calibri" w:hAnsi="Calibri"/>
                <w:b w:val="0"/>
                <w:i w:val="0"/>
                <w:color w:val="1C1C1C"/>
                <w:sz w:val="20"/>
              </w:rPr>
              <w:t>No</w:t>
            </w:r>
          </w:p>
        </w:tc>
        <w:tc>
          <w:tcPr>
            <w:tcW w:type="dxa" w:w="3969"/>
          </w:tcPr>
          <w:p>
            <w:r>
              <w:rPr>
                <w:rFonts w:ascii="Calibri" w:hAnsi="Calibri"/>
                <w:b w:val="0"/>
                <w:i w:val="0"/>
                <w:color w:val="1C1C1C"/>
                <w:sz w:val="20"/>
              </w:rPr>
              <w:t>No hay venta ni transferencia onerosa — es reorganización empresarial.</w:t>
            </w:r>
          </w:p>
        </w:tc>
      </w:tr>
      <w:tr>
        <w:tc>
          <w:tcPr>
            <w:tcW w:type="dxa" w:w="2835"/>
          </w:tcPr>
          <w:p>
            <w:r>
              <w:rPr>
                <w:rFonts w:ascii="Calibri" w:hAnsi="Calibri"/>
                <w:b w:val="0"/>
                <w:i w:val="0"/>
                <w:color w:val="1C1C1C"/>
                <w:sz w:val="20"/>
              </w:rPr>
              <w:t>Aporte al valor tributario (Art. 64 CT)</w:t>
            </w:r>
          </w:p>
        </w:tc>
        <w:tc>
          <w:tcPr>
            <w:tcW w:type="dxa" w:w="1984"/>
          </w:tcPr>
          <w:p>
            <w:r>
              <w:rPr>
                <w:rFonts w:ascii="Calibri" w:hAnsi="Calibri"/>
                <w:b w:val="0"/>
                <w:i w:val="0"/>
                <w:color w:val="1C1C1C"/>
                <w:sz w:val="20"/>
              </w:rPr>
              <w:t>No, si cumple requisitos</w:t>
            </w:r>
          </w:p>
        </w:tc>
        <w:tc>
          <w:tcPr>
            <w:tcW w:type="dxa" w:w="3969"/>
          </w:tcPr>
          <w:p>
            <w:r>
              <w:rPr>
                <w:rFonts w:ascii="Calibri" w:hAnsi="Calibri"/>
                <w:b w:val="0"/>
                <w:i w:val="0"/>
                <w:color w:val="1C1C1C"/>
                <w:sz w:val="20"/>
              </w:rPr>
              <w:t>Circular N°44/2006 SII; Art. 8 DL 825: el aporte en reorganización no es hecho gravado si no hay flujo de caja y mismos dueños.</w:t>
            </w:r>
          </w:p>
        </w:tc>
      </w:tr>
      <w:tr>
        <w:tc>
          <w:tcPr>
            <w:tcW w:type="dxa" w:w="2835"/>
          </w:tcPr>
          <w:p>
            <w:r>
              <w:rPr>
                <w:rFonts w:ascii="Calibri" w:hAnsi="Calibri"/>
                <w:b w:val="0"/>
                <w:i w:val="0"/>
                <w:color w:val="1C1C1C"/>
                <w:sz w:val="20"/>
              </w:rPr>
              <w:t>Venta a precio de mercado</w:t>
            </w:r>
          </w:p>
        </w:tc>
        <w:tc>
          <w:tcPr>
            <w:tcW w:type="dxa" w:w="1984"/>
          </w:tcPr>
          <w:p>
            <w:r>
              <w:rPr>
                <w:rFonts w:ascii="Calibri" w:hAnsi="Calibri"/>
                <w:b w:val="0"/>
                <w:i w:val="0"/>
                <w:color w:val="1C1C1C"/>
                <w:sz w:val="20"/>
              </w:rPr>
              <w:t>Sí, 19%</w:t>
            </w:r>
          </w:p>
        </w:tc>
        <w:tc>
          <w:tcPr>
            <w:tcW w:type="dxa" w:w="3969"/>
          </w:tcPr>
          <w:p>
            <w:r>
              <w:rPr>
                <w:rFonts w:ascii="Calibri" w:hAnsi="Calibri"/>
                <w:b w:val="0"/>
                <w:i w:val="0"/>
                <w:color w:val="1C1C1C"/>
                <w:sz w:val="20"/>
              </w:rPr>
              <w:t>Art. 8 letra d) DL 825.</w:t>
            </w:r>
          </w:p>
        </w:tc>
      </w:tr>
      <w:tr>
        <w:tc>
          <w:tcPr>
            <w:tcW w:type="dxa" w:w="2835"/>
          </w:tcPr>
          <w:p>
            <w:r>
              <w:rPr>
                <w:rFonts w:ascii="Calibri" w:hAnsi="Calibri"/>
                <w:b w:val="0"/>
                <w:i w:val="0"/>
                <w:color w:val="1C1C1C"/>
                <w:sz w:val="20"/>
              </w:rPr>
              <w:t>Aporte a valor comercial distinto del tributario</w:t>
            </w:r>
          </w:p>
        </w:tc>
        <w:tc>
          <w:tcPr>
            <w:tcW w:type="dxa" w:w="1984"/>
          </w:tcPr>
          <w:p>
            <w:r>
              <w:rPr>
                <w:rFonts w:ascii="Calibri" w:hAnsi="Calibri"/>
                <w:b w:val="0"/>
                <w:i w:val="0"/>
                <w:color w:val="1C1C1C"/>
                <w:sz w:val="20"/>
              </w:rPr>
              <w:t>Sí, por la diferencia</w:t>
            </w:r>
          </w:p>
        </w:tc>
        <w:tc>
          <w:tcPr>
            <w:tcW w:type="dxa" w:w="3969"/>
          </w:tcPr>
          <w:p>
            <w:r>
              <w:rPr>
                <w:rFonts w:ascii="Calibri" w:hAnsi="Calibri"/>
                <w:b w:val="0"/>
                <w:i w:val="0"/>
                <w:color w:val="1C1C1C"/>
                <w:sz w:val="20"/>
              </w:rPr>
              <w:t>El SII tasa conforme Art. 64 CT.</w:t>
            </w:r>
          </w:p>
        </w:tc>
      </w:tr>
    </w:tbl>
    <w:p/>
    <w:p>
      <w:pPr>
        <w:spacing w:before="320" w:after="80"/>
        <w:shd w:val="clear" w:color="auto" w:fill="1A3A5C"/>
      </w:pPr>
      <w:r>
        <w:rPr>
          <w:rFonts w:ascii="Calibri" w:hAnsi="Calibri"/>
          <w:b/>
          <w:i w:val="0"/>
          <w:color w:val="FFFFFF"/>
          <w:sz w:val="24"/>
        </w:rPr>
        <w:t xml:space="preserve">  VII.  RUTA RECOMENDADA: DIVISIÓN DE SOCIEDAD</w:t>
      </w:r>
    </w:p>
    <w:p>
      <w:pPr>
        <w:spacing w:before="240" w:after="60"/>
      </w:pPr>
      <w:r>
        <w:rPr>
          <w:rFonts w:ascii="Times New Roman" w:hAnsi="Times New Roman"/>
          <w:b/>
          <w:i w:val="0"/>
          <w:color w:val="1A3A5C"/>
          <w:sz w:val="24"/>
        </w:rPr>
        <w:t>Paso a paso</w:t>
      </w:r>
    </w:p>
    <w:p>
      <w:pPr>
        <w:spacing w:before="160" w:after="40"/>
      </w:pPr>
      <w:r>
        <w:rPr>
          <w:rFonts w:ascii="Times New Roman" w:hAnsi="Times New Roman"/>
          <w:b/>
          <w:i w:val="0"/>
          <w:color w:val="E8500A"/>
          <w:sz w:val="22"/>
        </w:rPr>
        <w:t>Etapa 1 — Preparación (estimado 2-3 meses)</w:t>
      </w:r>
    </w:p>
    <w:p>
      <w:pPr>
        <w:pStyle w:val="ListBullet"/>
        <w:spacing w:before="20" w:after="40"/>
        <w:ind w:left="283"/>
      </w:pPr>
      <w:r>
        <w:rPr>
          <w:rFonts w:ascii="Times New Roman" w:hAnsi="Times New Roman"/>
          <w:b w:val="0"/>
          <w:i w:val="0"/>
          <w:color w:val="1C1C1C"/>
          <w:sz w:val="22"/>
        </w:rPr>
        <w:t>Regularizar IVA postergado ($14,47M) o negociar convenio de pago con SII.</w:t>
      </w:r>
    </w:p>
    <w:p>
      <w:pPr>
        <w:pStyle w:val="ListBullet"/>
        <w:spacing w:before="20" w:after="40"/>
        <w:ind w:left="283"/>
      </w:pPr>
      <w:r>
        <w:rPr>
          <w:rFonts w:ascii="Times New Roman" w:hAnsi="Times New Roman"/>
          <w:b w:val="0"/>
          <w:i w:val="0"/>
          <w:color w:val="1C1C1C"/>
          <w:sz w:val="22"/>
        </w:rPr>
        <w:t>Formalizar préstamo de Consuelo Quinteros ($27M) con contrato de mutuo y registro contable.</w:t>
      </w:r>
    </w:p>
    <w:p>
      <w:pPr>
        <w:pStyle w:val="ListBullet"/>
        <w:spacing w:before="20" w:after="40"/>
        <w:ind w:left="283"/>
      </w:pPr>
      <w:r>
        <w:rPr>
          <w:rFonts w:ascii="Times New Roman" w:hAnsi="Times New Roman"/>
          <w:b w:val="0"/>
          <w:i w:val="0"/>
          <w:color w:val="1C1C1C"/>
          <w:sz w:val="22"/>
        </w:rPr>
        <w:t>Documentar contratos con todas las partes relacionadas ($280,5M).</w:t>
      </w:r>
    </w:p>
    <w:p>
      <w:pPr>
        <w:pStyle w:val="ListBullet"/>
        <w:spacing w:before="20" w:after="40"/>
        <w:ind w:left="283"/>
      </w:pPr>
      <w:r>
        <w:rPr>
          <w:rFonts w:ascii="Times New Roman" w:hAnsi="Times New Roman"/>
          <w:b w:val="0"/>
          <w:i w:val="0"/>
          <w:color w:val="1C1C1C"/>
          <w:sz w:val="22"/>
        </w:rPr>
        <w:t>Levantar cardex completo de activos fijos (incluir equipos no registrados).</w:t>
      </w:r>
    </w:p>
    <w:p>
      <w:pPr>
        <w:pStyle w:val="ListBullet"/>
        <w:spacing w:before="20" w:after="40"/>
        <w:ind w:left="283"/>
      </w:pPr>
      <w:r>
        <w:rPr>
          <w:rFonts w:ascii="Times New Roman" w:hAnsi="Times New Roman"/>
          <w:b w:val="0"/>
          <w:i w:val="0"/>
          <w:color w:val="1C1C1C"/>
          <w:sz w:val="22"/>
        </w:rPr>
        <w:t>Resolver Control Precautorio SII antes de iniciar trámites de reorganización.</w:t>
      </w:r>
    </w:p>
    <w:p>
      <w:pPr>
        <w:spacing w:before="160" w:after="40"/>
      </w:pPr>
      <w:r>
        <w:rPr>
          <w:rFonts w:ascii="Times New Roman" w:hAnsi="Times New Roman"/>
          <w:b/>
          <w:i w:val="0"/>
          <w:color w:val="E8500A"/>
          <w:sz w:val="22"/>
        </w:rPr>
        <w:t>Etapa 2 — Diseño de la División</w:t>
      </w:r>
    </w:p>
    <w:p>
      <w:pPr>
        <w:pStyle w:val="ListBullet"/>
        <w:spacing w:before="20" w:after="40"/>
        <w:ind w:left="283"/>
      </w:pPr>
      <w:r>
        <w:rPr>
          <w:rFonts w:ascii="Times New Roman" w:hAnsi="Times New Roman"/>
          <w:b w:val="0"/>
          <w:i w:val="0"/>
          <w:color w:val="1C1C1C"/>
          <w:sz w:val="22"/>
        </w:rPr>
        <w:t>Definir qué activos van a la nueva sociedad y cuáles quedan en Enciende.</w:t>
      </w:r>
    </w:p>
    <w:p>
      <w:pPr>
        <w:pStyle w:val="ListBullet"/>
        <w:spacing w:before="20" w:after="40"/>
        <w:ind w:left="283"/>
      </w:pPr>
      <w:r>
        <w:rPr>
          <w:rFonts w:ascii="Times New Roman" w:hAnsi="Times New Roman"/>
          <w:b w:val="0"/>
          <w:i w:val="0"/>
          <w:color w:val="1C1C1C"/>
          <w:sz w:val="22"/>
        </w:rPr>
        <w:t>Determinar el patrimonio neto a transferir (activos menos pasivos proporcionales).</w:t>
      </w:r>
    </w:p>
    <w:p>
      <w:pPr>
        <w:pStyle w:val="ListBullet"/>
        <w:spacing w:before="20" w:after="40"/>
        <w:ind w:left="283"/>
      </w:pPr>
      <w:r>
        <w:rPr>
          <w:rFonts w:ascii="Times New Roman" w:hAnsi="Times New Roman"/>
          <w:b w:val="0"/>
          <w:i w:val="0"/>
          <w:color w:val="1C1C1C"/>
          <w:sz w:val="22"/>
        </w:rPr>
        <w:t>Confirmar que ambas sociedades quedan con participación 50%/50% (misma proporción).</w:t>
      </w:r>
    </w:p>
    <w:p>
      <w:pPr>
        <w:pStyle w:val="ListBullet"/>
        <w:spacing w:before="20" w:after="40"/>
        <w:ind w:left="283"/>
      </w:pPr>
      <w:r>
        <w:rPr>
          <w:rFonts w:ascii="Times New Roman" w:hAnsi="Times New Roman"/>
          <w:b w:val="0"/>
          <w:i w:val="0"/>
          <w:color w:val="1C1C1C"/>
          <w:sz w:val="22"/>
        </w:rPr>
        <w:t>Establecer el giro de la nueva sociedad y sus actividades.</w:t>
      </w:r>
    </w:p>
    <w:p>
      <w:pPr>
        <w:spacing w:before="160" w:after="40"/>
      </w:pPr>
      <w:r>
        <w:rPr>
          <w:rFonts w:ascii="Times New Roman" w:hAnsi="Times New Roman"/>
          <w:b/>
          <w:i w:val="0"/>
          <w:color w:val="E8500A"/>
          <w:sz w:val="22"/>
        </w:rPr>
        <w:t>Etapa 3 — Acto Jurídico</w:t>
      </w:r>
    </w:p>
    <w:p>
      <w:pPr>
        <w:pStyle w:val="ListBullet"/>
        <w:spacing w:before="20" w:after="40"/>
        <w:ind w:left="283"/>
      </w:pPr>
      <w:r>
        <w:rPr>
          <w:rFonts w:ascii="Times New Roman" w:hAnsi="Times New Roman"/>
          <w:b w:val="0"/>
          <w:i w:val="0"/>
          <w:color w:val="1C1C1C"/>
          <w:sz w:val="22"/>
        </w:rPr>
        <w:t>Junta de accionistas de Enciende SpA aprueba la división (requiere mayoría calificada).</w:t>
      </w:r>
    </w:p>
    <w:p>
      <w:pPr>
        <w:pStyle w:val="ListBullet"/>
        <w:spacing w:before="20" w:after="40"/>
        <w:ind w:left="283"/>
      </w:pPr>
      <w:r>
        <w:rPr>
          <w:rFonts w:ascii="Times New Roman" w:hAnsi="Times New Roman"/>
          <w:b w:val="0"/>
          <w:i w:val="0"/>
          <w:color w:val="1C1C1C"/>
          <w:sz w:val="22"/>
        </w:rPr>
        <w:t>Escritura pública de división ante notario.</w:t>
      </w:r>
    </w:p>
    <w:p>
      <w:pPr>
        <w:pStyle w:val="ListBullet"/>
        <w:spacing w:before="20" w:after="40"/>
        <w:ind w:left="283"/>
      </w:pPr>
      <w:r>
        <w:rPr>
          <w:rFonts w:ascii="Times New Roman" w:hAnsi="Times New Roman"/>
          <w:b w:val="0"/>
          <w:i w:val="0"/>
          <w:color w:val="1C1C1C"/>
          <w:sz w:val="22"/>
        </w:rPr>
        <w:t>Balance de división auditado o certificado por contador.</w:t>
      </w:r>
    </w:p>
    <w:p>
      <w:pPr>
        <w:pStyle w:val="ListBullet"/>
        <w:spacing w:before="20" w:after="40"/>
        <w:ind w:left="283"/>
      </w:pPr>
      <w:r>
        <w:rPr>
          <w:rFonts w:ascii="Times New Roman" w:hAnsi="Times New Roman"/>
          <w:b w:val="0"/>
          <w:i w:val="0"/>
          <w:color w:val="1C1C1C"/>
          <w:sz w:val="22"/>
        </w:rPr>
        <w:t>Inscripción en Registro de Comercio y publicación en Diario Oficial.</w:t>
      </w:r>
    </w:p>
    <w:p>
      <w:pPr>
        <w:spacing w:before="160" w:after="40"/>
      </w:pPr>
      <w:r>
        <w:rPr>
          <w:rFonts w:ascii="Times New Roman" w:hAnsi="Times New Roman"/>
          <w:b/>
          <w:i w:val="0"/>
          <w:color w:val="E8500A"/>
          <w:sz w:val="22"/>
        </w:rPr>
        <w:t>Etapa 4 — Trámites SII</w:t>
      </w:r>
    </w:p>
    <w:p>
      <w:pPr>
        <w:pStyle w:val="ListBullet"/>
        <w:spacing w:before="20" w:after="40"/>
        <w:ind w:left="283"/>
      </w:pPr>
      <w:r>
        <w:rPr>
          <w:rFonts w:ascii="Times New Roman" w:hAnsi="Times New Roman"/>
          <w:b w:val="0"/>
          <w:i w:val="0"/>
          <w:color w:val="1C1C1C"/>
          <w:sz w:val="22"/>
        </w:rPr>
        <w:t>Obtención de RUT para la nueva sociedad.</w:t>
      </w:r>
    </w:p>
    <w:p>
      <w:pPr>
        <w:pStyle w:val="ListBullet"/>
        <w:spacing w:before="20" w:after="40"/>
        <w:ind w:left="283"/>
      </w:pPr>
      <w:r>
        <w:rPr>
          <w:rFonts w:ascii="Times New Roman" w:hAnsi="Times New Roman"/>
          <w:b w:val="0"/>
          <w:i w:val="0"/>
          <w:color w:val="1C1C1C"/>
          <w:sz w:val="22"/>
        </w:rPr>
        <w:t>Inicio de actividades nueva SpA ante SII.</w:t>
      </w:r>
    </w:p>
    <w:p>
      <w:pPr>
        <w:pStyle w:val="ListBullet"/>
        <w:spacing w:before="20" w:after="40"/>
        <w:ind w:left="283"/>
      </w:pPr>
      <w:r>
        <w:rPr>
          <w:rFonts w:ascii="Times New Roman" w:hAnsi="Times New Roman"/>
          <w:b w:val="0"/>
          <w:i w:val="0"/>
          <w:color w:val="1C1C1C"/>
          <w:sz w:val="22"/>
        </w:rPr>
        <w:t>Timbraje de documentos tributarios.</w:t>
      </w:r>
    </w:p>
    <w:p>
      <w:pPr>
        <w:pStyle w:val="ListBullet"/>
        <w:spacing w:before="20" w:after="40"/>
        <w:ind w:left="283"/>
      </w:pPr>
      <w:r>
        <w:rPr>
          <w:rFonts w:ascii="Times New Roman" w:hAnsi="Times New Roman"/>
          <w:b w:val="0"/>
          <w:i w:val="0"/>
          <w:color w:val="1C1C1C"/>
          <w:sz w:val="22"/>
        </w:rPr>
        <w:t>Aviso de modificación al registro de Enciende SpA.</w:t>
      </w:r>
    </w:p>
    <w:p>
      <w:pPr>
        <w:spacing w:before="160" w:after="40"/>
      </w:pPr>
      <w:r>
        <w:rPr>
          <w:rFonts w:ascii="Times New Roman" w:hAnsi="Times New Roman"/>
          <w:b/>
          <w:i w:val="0"/>
          <w:color w:val="E8500A"/>
          <w:sz w:val="22"/>
        </w:rPr>
        <w:t>Etapa 5 — Post-División</w:t>
      </w:r>
    </w:p>
    <w:p>
      <w:pPr>
        <w:pStyle w:val="ListBullet"/>
        <w:spacing w:before="20" w:after="40"/>
        <w:ind w:left="283"/>
      </w:pPr>
      <w:r>
        <w:rPr>
          <w:rFonts w:ascii="Times New Roman" w:hAnsi="Times New Roman"/>
          <w:b w:val="0"/>
          <w:i w:val="0"/>
          <w:color w:val="1C1C1C"/>
          <w:sz w:val="22"/>
        </w:rPr>
        <w:t>Registrar activos en nueva sociedad al mismo valor tributario que tenían en Enciende.</w:t>
      </w:r>
    </w:p>
    <w:p>
      <w:pPr>
        <w:pStyle w:val="ListBullet"/>
        <w:spacing w:before="20" w:after="40"/>
        <w:ind w:left="283"/>
      </w:pPr>
      <w:r>
        <w:rPr>
          <w:rFonts w:ascii="Times New Roman" w:hAnsi="Times New Roman"/>
          <w:b w:val="0"/>
          <w:i w:val="0"/>
          <w:color w:val="1C1C1C"/>
          <w:sz w:val="22"/>
        </w:rPr>
        <w:t>Distribuir las pérdidas tributarias proporcionalmente entre ambas entidades.</w:t>
      </w:r>
    </w:p>
    <w:p>
      <w:pPr>
        <w:pStyle w:val="ListBullet"/>
        <w:spacing w:before="20" w:after="40"/>
        <w:ind w:left="283"/>
      </w:pPr>
      <w:r>
        <w:rPr>
          <w:rFonts w:ascii="Times New Roman" w:hAnsi="Times New Roman"/>
          <w:b w:val="0"/>
          <w:i w:val="0"/>
          <w:color w:val="1C1C1C"/>
          <w:sz w:val="22"/>
        </w:rPr>
        <w:t>Actualizar contratos de trabajo, proveedores y clientes según corresponda.</w:t>
      </w:r>
    </w:p>
    <w:p>
      <w:pPr>
        <w:spacing w:before="320" w:after="80"/>
        <w:shd w:val="clear" w:color="auto" w:fill="1A3A5C"/>
      </w:pPr>
      <w:r>
        <w:rPr>
          <w:rFonts w:ascii="Calibri" w:hAnsi="Calibri"/>
          <w:b/>
          <w:i w:val="0"/>
          <w:color w:val="FFFFFF"/>
          <w:sz w:val="24"/>
        </w:rPr>
        <w:t xml:space="preserve">  VIII.  CONCLUSIÓN</w:t>
      </w:r>
    </w:p>
    <w:p>
      <w:pPr>
        <w:spacing w:before="40" w:after="120"/>
        <w:jc w:val="both"/>
      </w:pPr>
      <w:r>
        <w:rPr>
          <w:rFonts w:ascii="Times New Roman" w:hAnsi="Times New Roman"/>
          <w:b w:val="0"/>
          <w:i w:val="0"/>
          <w:color w:val="1C1C1C"/>
          <w:sz w:val="22"/>
        </w:rPr>
        <w:t>La División de Sociedad es la única vía que garantiza tributación cero en el traspaso de activos, dado que cumple todos los requisitos del artículo 64 del Código Tributario: mismos dueños, misma proporción, valor tributario, sin flujo de caja y reorganización con legítima razón de negocios. Adicionalmente, no genera hecho gravado con IVA y tiene mayor solidez jurídica ante una eventual fiscalización del SII.</w:t>
      </w:r>
    </w:p>
    <w:p>
      <w:pPr>
        <w:spacing w:before="40" w:after="120"/>
        <w:jc w:val="both"/>
      </w:pPr>
      <w:r>
        <w:rPr>
          <w:rFonts w:ascii="Times New Roman" w:hAnsi="Times New Roman"/>
          <w:b w:val="0"/>
          <w:i w:val="0"/>
          <w:color w:val="1C1C1C"/>
          <w:sz w:val="22"/>
        </w:rPr>
        <w:t>Sin embargo, Enciende Producciones SpA presenta cuatro contingencias activas que deben resolverse antes de ejecutar la División: los flujos a relacionados sin contrato, el Control Precautorio por IVA, el préstamo no registrado de Consuelo Quinteros, y el IVA postergado vencido. Ejecutar la reorganización sin resolver estas contingencias expone a que el SII impugne la operación o bloquee los trámites de la nueva sociedad.</w:t>
      </w:r>
    </w:p>
    <w:p>
      <w:pPr>
        <w:spacing w:before="40" w:after="120"/>
        <w:jc w:val="both"/>
      </w:pPr>
      <w:r>
        <w:rPr>
          <w:rFonts w:ascii="Times New Roman" w:hAnsi="Times New Roman"/>
          <w:b w:val="0"/>
          <w:i w:val="0"/>
          <w:color w:val="1C1C1C"/>
          <w:sz w:val="22"/>
        </w:rPr>
        <w:t>La recomendación es avanzar en paralelo en la resolución de contingencias y el diseño de la División, con el objetivo de ejecutar el acto jurídico una vez que el escenario esté saneado — estimado en 2 a 3 meses.</w:t>
      </w:r>
    </w:p>
    <w:p>
      <w:pPr>
        <w:spacing w:before="80" w:after="80"/>
      </w:pPr>
      <w:r>
        <w:rPr>
          <w:rFonts w:ascii="Times New Roman" w:hAnsi="Times New Roman"/>
          <w:b w:val="0"/>
          <w:i w:val="0"/>
          <w:color w:val="CCCCCC"/>
          <w:sz w:val="14"/>
        </w:rPr>
        <w:t>─────────────────────────────────────────────────────────────────────────────────────</w:t>
      </w:r>
    </w:p>
    <w:p>
      <w:pPr>
        <w:spacing w:before="80" w:after="80"/>
        <w:ind w:left="283"/>
      </w:pPr>
      <w:r>
        <w:rPr>
          <w:rFonts w:ascii="Times New Roman" w:hAnsi="Times New Roman"/>
          <w:b w:val="0"/>
          <w:i/>
          <w:color w:val="555555"/>
          <w:sz w:val="18"/>
        </w:rPr>
        <w:t>Normativa consultada: Art. 64 Código Tributario; Art. 14 D N°3 DL 824 (LIR); Art. 21 LIR; Art. 8 DL 825; Circular SII N°45/2001; Circular SII N°17/2015; Circular SII N°44/2006; Ley N°18.046 Arts. 94-100; Art. 424 Código de Comercio.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