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55555"/>
          <w:sz w:val="18"/>
        </w:rPr>
        <w:t>MAGÍSTER EN DIRECCIÓN TRIBUTARIA — UNIVERSIDAD VIÑA DEL MAR</w:t>
      </w:r>
    </w:p>
    <w:p>
      <w:pPr>
        <w:jc w:val="center"/>
      </w:pPr>
      <w:r>
        <w:rPr>
          <w:b/>
          <w:color w:val="1A3A5C"/>
          <w:sz w:val="40"/>
        </w:rPr>
        <w:t>CASO 86</w:t>
      </w:r>
    </w:p>
    <w:p>
      <w:pPr>
        <w:jc w:val="center"/>
      </w:pPr>
      <w:r>
        <w:rPr>
          <w:b/>
          <w:color w:val="2E6DA4"/>
          <w:sz w:val="24"/>
        </w:rPr>
        <w:t>Prestación de Servicios Profesionales mediante Sociedad Interpuesta</w:t>
      </w:r>
    </w:p>
    <w:p>
      <w:pPr>
        <w:jc w:val="center"/>
      </w:pPr>
      <w:r>
        <w:rPr>
          <w:b/>
          <w:color w:val="555555"/>
          <w:sz w:val="20"/>
        </w:rPr>
        <w:t>Catálogo de Esquemas Tributarios SII 2025</w:t>
      </w:r>
    </w:p>
    <w:p/>
    <w:tbl>
      <w:tblPr>
        <w:tblStyle w:val="LightGrid-Accent1"/>
        <w:tblW w:type="auto" w:w="0"/>
        <w:jc w:val="center"/>
        <w:tblLook w:firstColumn="1" w:firstRow="1" w:lastColumn="0" w:lastRow="0" w:noHBand="0" w:noVBand="1" w:val="04A0"/>
      </w:tblPr>
      <w:tblGrid>
        <w:gridCol w:w="4703"/>
        <w:gridCol w:w="4703"/>
      </w:tblGrid>
      <w:tr>
        <w:tc>
          <w:tcPr>
            <w:tcW w:type="dxa" w:w="4703"/>
            <w:shd w:val="clear" w:color="auto" w:fill="1A3A5C"/>
          </w:tcPr>
          <w:p>
            <w:r>
              <w:rPr>
                <w:b/>
                <w:color w:val="FFFFFF"/>
                <w:sz w:val="22"/>
              </w:rPr>
              <w:t>Grupo 4</w:t>
            </w:r>
          </w:p>
        </w:tc>
        <w:tc>
          <w:tcPr>
            <w:tcW w:type="dxa" w:w="4703"/>
            <w:shd w:val="clear" w:color="auto" w:fill="1A3A5C"/>
          </w:tcPr>
          <w:p>
            <w:r>
              <w:rPr>
                <w:b/>
                <w:color w:val="FFFFFF"/>
                <w:sz w:val="22"/>
              </w:rPr>
              <w:t>Magíster en Dirección Tributaria UVM</w:t>
            </w:r>
          </w:p>
        </w:tc>
      </w:tr>
      <w:tr>
        <w:tc>
          <w:tcPr>
            <w:tcW w:type="dxa" w:w="9406"/>
            <w:gridSpan w:val="2"/>
          </w:tcPr>
          <w:p>
            <w:pPr>
              <w:jc w:val="center"/>
            </w:pPr>
            <w:r>
              <w:rPr>
                <w:color w:val="1A3A5C"/>
                <w:sz w:val="20"/>
              </w:rPr>
              <w:t>Andrea Añasco  ·  Gema Sepúlveda  ·  Karen Rebolledo  ·  Nicolás Muñoz</w:t>
            </w:r>
          </w:p>
        </w:tc>
      </w:tr>
    </w:tbl>
    <w:p/>
    <w:p>
      <w:pPr>
        <w:jc w:val="center"/>
      </w:pPr>
      <w:r>
        <w:rPr>
          <w:color w:val="2E6DA4"/>
        </w:rPr>
        <w:t>────────────────────────────────────────────────────────────────────────────────</w:t>
      </w:r>
    </w:p>
    <w:p>
      <w:pPr>
        <w:spacing w:before="200" w:after="80"/>
        <w:pBdr>
          <w:bottom w:val="single" w:sz="8" w:space="1" w:color="2E6DA4"/>
        </w:pBdr>
      </w:pPr>
      <w:r>
        <w:rPr>
          <w:b/>
          <w:color w:val="1A3A5C"/>
          <w:sz w:val="24"/>
        </w:rPr>
        <w:t>I.  EL ESQUEMA — ¿QUÉ SE HACE Y POR QUÉ IMPORTA?</w:t>
      </w:r>
    </w:p>
    <w:p>
      <w:pPr>
        <w:jc w:val="both"/>
      </w:pPr>
      <w:r>
        <w:rPr>
          <w:b w:val="0"/>
          <w:i w:val="0"/>
          <w:sz w:val="21"/>
        </w:rPr>
        <w:t>El Caso 86 describe una práctica frecuente en el mundo de los profesionales liberales: constituir una sociedad de profesionales con socios que, en la realidad, nunca trabajan para la sociedad. El objetivo concreto es fraccionar el ingreso del profesional activo en varios RUT y, con ello, bajar artificialmente el tramo del Impuesto Global Complementario (IGC).</w:t>
      </w:r>
    </w:p>
    <w:p>
      <w:pPr>
        <w:spacing w:before="120" w:after="40"/>
      </w:pPr>
      <w:r>
        <w:rPr>
          <w:b/>
          <w:color w:val="2E6DA4"/>
          <w:sz w:val="22"/>
        </w:rPr>
        <w:t>El caso concreto</w:t>
      </w:r>
    </w:p>
    <w:p>
      <w:pPr>
        <w:jc w:val="both"/>
      </w:pPr>
      <w:r>
        <w:rPr>
          <w:b w:val="0"/>
          <w:i w:val="0"/>
          <w:sz w:val="21"/>
        </w:rPr>
        <w:t>Pedro, médico cirujano, genera honorarios anuales por $300 millones. Si los declara directamente bajo el Art. 42 N°2 LIR, paga IGC en el tramo más alto (40%). Para reducir esa carga, constituye junto a su señora y su cuñado —que son profesores y nunca atienden pacientes— la 'Sociedad Profesional Médica Ltda.', con participación del 33,33% cada uno. Los ingresos de Pedro entran a la sociedad y se reparten en partes iguales: cada uno declara $100 millones y queda en un tramo de IGC más bajo.</w:t>
      </w:r>
    </w:p>
    <w:p>
      <w:pPr>
        <w:spacing w:before="120" w:after="40"/>
      </w:pPr>
      <w:r>
        <w:rPr>
          <w:b/>
          <w:color w:val="2E6DA4"/>
          <w:sz w:val="22"/>
        </w:rPr>
        <w:t>El flujo del esquema</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A3A5C"/>
          </w:tcPr>
          <w:p>
            <w:r>
              <w:rPr>
                <w:b/>
                <w:color w:val="FFFFFF"/>
                <w:sz w:val="20"/>
              </w:rPr>
              <w:t>Paso</w:t>
            </w:r>
          </w:p>
        </w:tc>
        <w:tc>
          <w:tcPr>
            <w:tcW w:type="dxa" w:w="3135"/>
            <w:shd w:val="clear" w:color="auto" w:fill="1A3A5C"/>
          </w:tcPr>
          <w:p>
            <w:r>
              <w:rPr>
                <w:b/>
                <w:color w:val="FFFFFF"/>
                <w:sz w:val="20"/>
              </w:rPr>
              <w:t>¿Qué ocurre?</w:t>
            </w:r>
          </w:p>
        </w:tc>
        <w:tc>
          <w:tcPr>
            <w:tcW w:type="dxa" w:w="3135"/>
            <w:shd w:val="clear" w:color="auto" w:fill="1A3A5C"/>
          </w:tcPr>
          <w:p>
            <w:r>
              <w:rPr>
                <w:b/>
                <w:color w:val="FFFFFF"/>
                <w:sz w:val="20"/>
              </w:rPr>
              <w:t>Sujeto</w:t>
            </w:r>
          </w:p>
        </w:tc>
      </w:tr>
      <w:tr>
        <w:tc>
          <w:tcPr>
            <w:tcW w:type="dxa" w:w="3135"/>
            <w:shd w:val="clear" w:color="auto" w:fill="EBF3FB"/>
          </w:tcPr>
          <w:p>
            <w:r>
              <w:rPr>
                <w:b w:val="0"/>
                <w:sz w:val="19"/>
              </w:rPr>
              <w:t>1</w:t>
            </w:r>
          </w:p>
        </w:tc>
        <w:tc>
          <w:tcPr>
            <w:tcW w:type="dxa" w:w="3135"/>
            <w:shd w:val="clear" w:color="auto" w:fill="EBF3FB"/>
          </w:tcPr>
          <w:p>
            <w:r>
              <w:rPr>
                <w:b w:val="0"/>
                <w:sz w:val="19"/>
              </w:rPr>
              <w:t>Pedro presta servicios médicos y factura $300 MM</w:t>
            </w:r>
          </w:p>
        </w:tc>
        <w:tc>
          <w:tcPr>
            <w:tcW w:type="dxa" w:w="3135"/>
            <w:shd w:val="clear" w:color="auto" w:fill="EBF3FB"/>
          </w:tcPr>
          <w:p>
            <w:r>
              <w:rPr>
                <w:b w:val="0"/>
                <w:sz w:val="19"/>
              </w:rPr>
              <w:t>Socio A (Pedro)</w:t>
            </w:r>
          </w:p>
        </w:tc>
      </w:tr>
      <w:tr>
        <w:tc>
          <w:tcPr>
            <w:tcW w:type="dxa" w:w="3135"/>
          </w:tcPr>
          <w:p>
            <w:r>
              <w:rPr>
                <w:b w:val="0"/>
                <w:sz w:val="19"/>
              </w:rPr>
              <w:t>2</w:t>
            </w:r>
          </w:p>
        </w:tc>
        <w:tc>
          <w:tcPr>
            <w:tcW w:type="dxa" w:w="3135"/>
          </w:tcPr>
          <w:p>
            <w:r>
              <w:rPr>
                <w:b w:val="0"/>
                <w:sz w:val="19"/>
              </w:rPr>
              <w:t>Los ingresos ingresan a la Sociedad D</w:t>
            </w:r>
          </w:p>
        </w:tc>
        <w:tc>
          <w:tcPr>
            <w:tcW w:type="dxa" w:w="3135"/>
          </w:tcPr>
          <w:p>
            <w:r>
              <w:rPr>
                <w:b w:val="0"/>
                <w:sz w:val="19"/>
              </w:rPr>
              <w:t>Sociedad de profesionales</w:t>
            </w:r>
          </w:p>
        </w:tc>
      </w:tr>
      <w:tr>
        <w:tc>
          <w:tcPr>
            <w:tcW w:type="dxa" w:w="3135"/>
            <w:shd w:val="clear" w:color="auto" w:fill="EBF3FB"/>
          </w:tcPr>
          <w:p>
            <w:r>
              <w:rPr>
                <w:b w:val="0"/>
                <w:sz w:val="19"/>
              </w:rPr>
              <w:t>3</w:t>
            </w:r>
          </w:p>
        </w:tc>
        <w:tc>
          <w:tcPr>
            <w:tcW w:type="dxa" w:w="3135"/>
            <w:shd w:val="clear" w:color="auto" w:fill="EBF3FB"/>
          </w:tcPr>
          <w:p>
            <w:r>
              <w:rPr>
                <w:b w:val="0"/>
                <w:sz w:val="19"/>
              </w:rPr>
              <w:t>Las utilidades se distribuyen en partes iguales ($100 MM c/u)</w:t>
            </w:r>
          </w:p>
        </w:tc>
        <w:tc>
          <w:tcPr>
            <w:tcW w:type="dxa" w:w="3135"/>
            <w:shd w:val="clear" w:color="auto" w:fill="EBF3FB"/>
          </w:tcPr>
          <w:p>
            <w:r>
              <w:rPr>
                <w:b w:val="0"/>
                <w:sz w:val="19"/>
              </w:rPr>
              <w:t>A, B y C — todos declaran IGC</w:t>
            </w:r>
          </w:p>
        </w:tc>
      </w:tr>
    </w:tbl>
    <w:p/>
    <w:tbl>
      <w:tblPr>
        <w:tblW w:type="auto" w:w="0"/>
        <w:jc w:val="center"/>
        <w:tblLook w:firstColumn="1" w:firstRow="1" w:lastColumn="0" w:lastRow="0" w:noHBand="0" w:noVBand="1" w:val="04A0"/>
      </w:tblPr>
      <w:tblGrid>
        <w:gridCol w:w="9406"/>
      </w:tblGrid>
      <w:tr>
        <w:tc>
          <w:tcPr>
            <w:tcW w:type="dxa" w:w="9406"/>
            <w:shd w:val="clear" w:color="auto" w:fill="FDE9D9"/>
          </w:tcPr>
          <w:p>
            <w:pPr>
              <w:spacing w:before="80" w:after="80"/>
              <w:jc w:val="both"/>
            </w:pPr>
            <w:r>
              <w:rPr>
                <w:b/>
                <w:color w:val="C5501A"/>
                <w:sz w:val="21"/>
              </w:rPr>
              <w:t>RESULTADO: lo que en manos de Pedro tributaría al 40%, queda diluido en tres tramos independientes. El ahorro fiscal puede superar los $20–40 millones anuales, sin que B ni C hayan atendido un solo paciente.</w:t>
            </w:r>
          </w:p>
        </w:tc>
      </w:tr>
    </w:tbl>
    <w:p/>
    <w:p>
      <w:pPr>
        <w:spacing w:before="120" w:after="40"/>
      </w:pPr>
      <w:r>
        <w:rPr>
          <w:b/>
          <w:color w:val="2E6DA4"/>
          <w:sz w:val="22"/>
        </w:rPr>
        <w:t>Diagrama simplificado del esquema</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2E6DA4"/>
          </w:tcPr>
          <w:p>
            <w:pPr>
              <w:jc w:val="center"/>
            </w:pPr>
            <w:r>
              <w:rPr>
                <w:b/>
                <w:color w:val="FFFFFF"/>
                <w:sz w:val="19"/>
              </w:rPr>
              <w:t>Pedro</w:t>
              <w:br/>
              <w:t>(médico)</w:t>
            </w:r>
          </w:p>
        </w:tc>
        <w:tc>
          <w:tcPr>
            <w:tcW w:type="dxa" w:w="1881"/>
          </w:tcPr>
          <w:p/>
        </w:tc>
        <w:tc>
          <w:tcPr>
            <w:tcW w:type="dxa" w:w="1881"/>
            <w:shd w:val="clear" w:color="auto" w:fill="1A3A5C"/>
          </w:tcPr>
          <w:p>
            <w:pPr>
              <w:jc w:val="center"/>
            </w:pPr>
            <w:r>
              <w:rPr>
                <w:b/>
                <w:color w:val="FFFFFF"/>
                <w:sz w:val="19"/>
              </w:rPr>
              <w:t>Sociedad D</w:t>
              <w:br/>
              <w:t>(profesionales)</w:t>
            </w:r>
          </w:p>
        </w:tc>
        <w:tc>
          <w:tcPr>
            <w:tcW w:type="dxa" w:w="1881"/>
          </w:tcPr>
          <w:p/>
        </w:tc>
        <w:tc>
          <w:tcPr>
            <w:tcW w:type="dxa" w:w="1881"/>
            <w:shd w:val="clear" w:color="auto" w:fill="2E6DA4"/>
          </w:tcPr>
          <w:p>
            <w:pPr>
              <w:jc w:val="center"/>
            </w:pPr>
            <w:r>
              <w:rPr>
                <w:b/>
                <w:color w:val="FFFFFF"/>
                <w:sz w:val="19"/>
              </w:rPr>
              <w:t>SII recibe</w:t>
              <w:br/>
              <w:t>IGC de 3 RUT</w:t>
            </w:r>
          </w:p>
        </w:tc>
      </w:tr>
      <w:tr>
        <w:tc>
          <w:tcPr>
            <w:tcW w:type="dxa" w:w="1881"/>
          </w:tcPr>
          <w:p/>
        </w:tc>
        <w:tc>
          <w:tcPr>
            <w:tcW w:type="dxa" w:w="1881"/>
          </w:tcPr>
          <w:p>
            <w:pPr>
              <w:jc w:val="center"/>
            </w:pPr>
            <w:r>
              <w:rPr>
                <w:color w:val="555555"/>
                <w:sz w:val="20"/>
              </w:rPr>
              <w:t>→ honorarios</w:t>
            </w:r>
          </w:p>
        </w:tc>
        <w:tc>
          <w:tcPr>
            <w:tcW w:type="dxa" w:w="1881"/>
          </w:tcPr>
          <w:p/>
        </w:tc>
        <w:tc>
          <w:tcPr>
            <w:tcW w:type="dxa" w:w="1881"/>
          </w:tcPr>
          <w:p>
            <w:pPr>
              <w:jc w:val="center"/>
            </w:pPr>
            <w:r>
              <w:rPr>
                <w:color w:val="555555"/>
                <w:sz w:val="20"/>
              </w:rPr>
              <w:t>→ distribuye</w:t>
            </w:r>
          </w:p>
        </w:tc>
        <w:tc>
          <w:tcPr>
            <w:tcW w:type="dxa" w:w="1881"/>
          </w:tcPr>
          <w:p/>
        </w:tc>
      </w:tr>
      <w:tr>
        <w:tc>
          <w:tcPr>
            <w:tcW w:type="dxa" w:w="1881"/>
          </w:tcPr>
          <w:p/>
        </w:tc>
        <w:tc>
          <w:tcPr>
            <w:tcW w:type="dxa" w:w="1881"/>
          </w:tcPr>
          <w:p/>
        </w:tc>
        <w:tc>
          <w:tcPr>
            <w:tcW w:type="dxa" w:w="1881"/>
            <w:shd w:val="clear" w:color="auto" w:fill="555555"/>
          </w:tcPr>
          <w:p>
            <w:pPr>
              <w:jc w:val="center"/>
            </w:pPr>
            <w:r>
              <w:rPr>
                <w:b/>
                <w:color w:val="FFFFFF"/>
                <w:sz w:val="19"/>
              </w:rPr>
              <w:t>B (33%) · C (33%) · A (33%)</w:t>
            </w:r>
          </w:p>
        </w:tc>
        <w:tc>
          <w:tcPr>
            <w:tcW w:type="dxa" w:w="1881"/>
          </w:tcPr>
          <w:p/>
        </w:tc>
        <w:tc>
          <w:tcPr>
            <w:tcW w:type="dxa" w:w="1881"/>
          </w:tcPr>
          <w:p/>
        </w:tc>
      </w:tr>
    </w:tbl>
    <w:p/>
    <w:p>
      <w:pPr>
        <w:spacing w:before="200" w:after="80"/>
        <w:pBdr>
          <w:bottom w:val="single" w:sz="8" w:space="1" w:color="2E6DA4"/>
        </w:pBdr>
      </w:pPr>
      <w:r>
        <w:rPr>
          <w:b/>
          <w:color w:val="1A3A5C"/>
          <w:sz w:val="24"/>
        </w:rPr>
        <w:t>II.  ¿QUÉ DICE EL DERECHO? — SÍNTESIS NORMATIVA</w:t>
      </w:r>
    </w:p>
    <w:p>
      <w:pPr>
        <w:jc w:val="both"/>
      </w:pPr>
      <w:r>
        <w:rPr>
          <w:b w:val="0"/>
          <w:i w:val="0"/>
          <w:sz w:val="21"/>
        </w:rPr>
        <w:t>No se trata de hacer un repaso de la ley, sino de identificar qué normas son relevantes para calificar el esquema y cuáles le aplican directamente. La tabla siguiente sintetiza el marco legal pertinente:</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val="clear" w:color="auto" w:fill="1A3A5C"/>
          </w:tcPr>
          <w:p>
            <w:r>
              <w:rPr>
                <w:b/>
                <w:color w:val="FFFFFF"/>
                <w:sz w:val="20"/>
              </w:rPr>
              <w:t>Norma</w:t>
            </w:r>
          </w:p>
        </w:tc>
        <w:tc>
          <w:tcPr>
            <w:tcW w:type="dxa" w:w="3135"/>
            <w:shd w:val="clear" w:color="auto" w:fill="1A3A5C"/>
          </w:tcPr>
          <w:p>
            <w:r>
              <w:rPr>
                <w:b/>
                <w:color w:val="FFFFFF"/>
                <w:sz w:val="20"/>
              </w:rPr>
              <w:t>Contenido clave</w:t>
            </w:r>
          </w:p>
        </w:tc>
        <w:tc>
          <w:tcPr>
            <w:tcW w:type="dxa" w:w="3135"/>
            <w:shd w:val="clear" w:color="auto" w:fill="1A3A5C"/>
          </w:tcPr>
          <w:p>
            <w:r>
              <w:rPr>
                <w:b/>
                <w:color w:val="FFFFFF"/>
                <w:sz w:val="20"/>
              </w:rPr>
              <w:t>¿Cómo aplica al Caso 86?</w:t>
            </w:r>
          </w:p>
        </w:tc>
      </w:tr>
      <w:tr>
        <w:tc>
          <w:tcPr>
            <w:tcW w:type="dxa" w:w="3135"/>
            <w:shd w:val="clear" w:color="auto" w:fill="F4F6F9"/>
          </w:tcPr>
          <w:p>
            <w:r>
              <w:rPr>
                <w:b w:val="0"/>
                <w:sz w:val="19"/>
              </w:rPr>
              <w:t>Art. 42 N°2 LIR</w:t>
            </w:r>
          </w:p>
        </w:tc>
        <w:tc>
          <w:tcPr>
            <w:tcW w:type="dxa" w:w="3135"/>
            <w:shd w:val="clear" w:color="auto" w:fill="F4F6F9"/>
          </w:tcPr>
          <w:p>
            <w:r>
              <w:rPr>
                <w:b w:val="0"/>
                <w:sz w:val="19"/>
              </w:rPr>
              <w:t>Rentas de segunda categoría. Las sociedades de profesionales pueden optar por 1ª categoría si TODOS los socios ejercen su profesión para ella.</w:t>
            </w:r>
          </w:p>
        </w:tc>
        <w:tc>
          <w:tcPr>
            <w:tcW w:type="dxa" w:w="3135"/>
            <w:shd w:val="clear" w:color="auto" w:fill="F4F6F9"/>
          </w:tcPr>
          <w:p>
            <w:r>
              <w:rPr>
                <w:b w:val="0"/>
                <w:sz w:val="19"/>
              </w:rPr>
              <w:t>D no cumple: B y C no ejercen profesión para la sociedad → no califica como sociedad de profesionales.</w:t>
            </w:r>
          </w:p>
        </w:tc>
      </w:tr>
      <w:tr>
        <w:tc>
          <w:tcPr>
            <w:tcW w:type="dxa" w:w="3135"/>
          </w:tcPr>
          <w:p>
            <w:r>
              <w:rPr>
                <w:b w:val="0"/>
                <w:sz w:val="19"/>
              </w:rPr>
              <w:t>Circ. N°21/1991 y N°50/2020 SII</w:t>
            </w:r>
          </w:p>
        </w:tc>
        <w:tc>
          <w:tcPr>
            <w:tcW w:type="dxa" w:w="3135"/>
          </w:tcPr>
          <w:p>
            <w:r>
              <w:rPr>
                <w:b w:val="0"/>
                <w:sz w:val="19"/>
              </w:rPr>
              <w:t>Requisitos copulativos para ser sociedad de profesionales. Todos los socios deben prestar servicios efectivos; no es válido que uno solo aporte capital.</w:t>
            </w:r>
          </w:p>
        </w:tc>
        <w:tc>
          <w:tcPr>
            <w:tcW w:type="dxa" w:w="3135"/>
          </w:tcPr>
          <w:p>
            <w:r>
              <w:rPr>
                <w:b w:val="0"/>
                <w:sz w:val="19"/>
              </w:rPr>
              <w:t>Incumplimiento flagrante: B y C solo aportan capital.</w:t>
            </w:r>
          </w:p>
        </w:tc>
      </w:tr>
      <w:tr>
        <w:tc>
          <w:tcPr>
            <w:tcW w:type="dxa" w:w="3135"/>
            <w:shd w:val="clear" w:color="auto" w:fill="F4F6F9"/>
          </w:tcPr>
          <w:p>
            <w:r>
              <w:rPr>
                <w:b w:val="0"/>
                <w:sz w:val="19"/>
              </w:rPr>
              <w:t>Art. 4 bis CT</w:t>
            </w:r>
          </w:p>
        </w:tc>
        <w:tc>
          <w:tcPr>
            <w:tcW w:type="dxa" w:w="3135"/>
            <w:shd w:val="clear" w:color="auto" w:fill="F4F6F9"/>
          </w:tcPr>
          <w:p>
            <w:r>
              <w:rPr>
                <w:b w:val="0"/>
                <w:sz w:val="19"/>
              </w:rPr>
              <w:t>Las obligaciones tributarias nacen según la naturaleza jurídica real de los actos, no según la forma que les dan las partes.</w:t>
            </w:r>
          </w:p>
        </w:tc>
        <w:tc>
          <w:tcPr>
            <w:tcW w:type="dxa" w:w="3135"/>
            <w:shd w:val="clear" w:color="auto" w:fill="F4F6F9"/>
          </w:tcPr>
          <w:p>
            <w:r>
              <w:rPr>
                <w:b w:val="0"/>
                <w:sz w:val="19"/>
              </w:rPr>
              <w:t>Obligaciones de Pedro no se alteran por usar la sociedad como vehículo.</w:t>
            </w:r>
          </w:p>
        </w:tc>
      </w:tr>
      <w:tr>
        <w:tc>
          <w:tcPr>
            <w:tcW w:type="dxa" w:w="3135"/>
          </w:tcPr>
          <w:p>
            <w:r>
              <w:rPr>
                <w:b w:val="0"/>
                <w:sz w:val="19"/>
              </w:rPr>
              <w:t>Art. 4 ter CT</w:t>
            </w:r>
          </w:p>
        </w:tc>
        <w:tc>
          <w:tcPr>
            <w:tcW w:type="dxa" w:w="3135"/>
          </w:tcPr>
          <w:p>
            <w:r>
              <w:rPr>
                <w:b w:val="0"/>
                <w:sz w:val="19"/>
              </w:rPr>
              <w:t>ABUSO: actos que evitan o disminuyen el hecho gravado sin producir efectos jurídicos/económicos relevantes distintos del tributario.</w:t>
            </w:r>
          </w:p>
        </w:tc>
        <w:tc>
          <w:tcPr>
            <w:tcW w:type="dxa" w:w="3135"/>
          </w:tcPr>
          <w:p>
            <w:r>
              <w:rPr>
                <w:b w:val="0"/>
                <w:sz w:val="19"/>
              </w:rPr>
              <w:t>El esquema reduce la carga de Pedro sin que B y C aporten valor real → ABUSO.</w:t>
            </w:r>
          </w:p>
        </w:tc>
      </w:tr>
      <w:tr>
        <w:tc>
          <w:tcPr>
            <w:tcW w:type="dxa" w:w="3135"/>
            <w:shd w:val="clear" w:color="auto" w:fill="F4F6F9"/>
          </w:tcPr>
          <w:p>
            <w:r>
              <w:rPr>
                <w:b w:val="0"/>
                <w:sz w:val="19"/>
              </w:rPr>
              <w:t>Art. 4 quinquies CT</w:t>
            </w:r>
          </w:p>
        </w:tc>
        <w:tc>
          <w:tcPr>
            <w:tcW w:type="dxa" w:w="3135"/>
            <w:shd w:val="clear" w:color="auto" w:fill="F4F6F9"/>
          </w:tcPr>
          <w:p>
            <w:r>
              <w:rPr>
                <w:b w:val="0"/>
                <w:sz w:val="19"/>
              </w:rPr>
              <w:t>El Director del SII puede requerir al Tribunal Tributario y Aduanero (TTA) la declaración de abuso.</w:t>
            </w:r>
          </w:p>
        </w:tc>
        <w:tc>
          <w:tcPr>
            <w:tcW w:type="dxa" w:w="3135"/>
            <w:shd w:val="clear" w:color="auto" w:fill="F4F6F9"/>
          </w:tcPr>
          <w:p>
            <w:r>
              <w:rPr>
                <w:b w:val="0"/>
                <w:sz w:val="19"/>
              </w:rPr>
              <w:t>Consecuencia práctica: recalificación + atribución íntegra a Pedro + intereses + multas.</w:t>
            </w:r>
          </w:p>
        </w:tc>
      </w:tr>
    </w:tbl>
    <w:p/>
    <w:p>
      <w:r>
        <w:br w:type="page"/>
      </w:r>
    </w:p>
    <w:p>
      <w:pPr>
        <w:spacing w:before="200" w:after="80"/>
        <w:pBdr>
          <w:bottom w:val="single" w:sz="8" w:space="1" w:color="2E6DA4"/>
        </w:pBdr>
      </w:pPr>
      <w:r>
        <w:rPr>
          <w:b/>
          <w:color w:val="1A3A5C"/>
          <w:sz w:val="24"/>
        </w:rPr>
        <w:t>III.  CALIFICACIÓN JURÍDICA — ¿ABUSO O SIMULACIÓN?</w:t>
      </w:r>
    </w:p>
    <w:p>
      <w:pPr>
        <w:jc w:val="both"/>
      </w:pPr>
      <w:r>
        <w:rPr>
          <w:b w:val="0"/>
          <w:i w:val="0"/>
          <w:sz w:val="21"/>
        </w:rPr>
        <w:t>Esta es la pregunta central del caso. El Código Tributario distingue dos figuras antielusivas distintas con efectos procesales diferentes. La correcta calificación importa porque define qué debe probar el SII y cuál norma aplica.</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val="clear" w:color="auto" w:fill="1A3A5C"/>
          </w:tcPr>
          <w:p>
            <w:r>
              <w:rPr>
                <w:b/>
                <w:color w:val="FFFFFF"/>
                <w:sz w:val="20"/>
              </w:rPr>
              <w:t>Criterio</w:t>
            </w:r>
          </w:p>
        </w:tc>
        <w:tc>
          <w:tcPr>
            <w:tcW w:type="dxa" w:w="3135"/>
            <w:shd w:val="clear" w:color="auto" w:fill="1A3A5C"/>
          </w:tcPr>
          <w:p>
            <w:r>
              <w:rPr>
                <w:b/>
                <w:color w:val="FFFFFF"/>
                <w:sz w:val="20"/>
              </w:rPr>
              <w:t>ABUSO (Art. 4 ter CT)</w:t>
            </w:r>
          </w:p>
        </w:tc>
        <w:tc>
          <w:tcPr>
            <w:tcW w:type="dxa" w:w="3135"/>
            <w:shd w:val="clear" w:color="auto" w:fill="1A3A5C"/>
          </w:tcPr>
          <w:p>
            <w:r>
              <w:rPr>
                <w:b/>
                <w:color w:val="FFFFFF"/>
                <w:sz w:val="20"/>
              </w:rPr>
              <w:t>SIMULACIÓN (Art. 4 quáter CT)</w:t>
            </w:r>
          </w:p>
        </w:tc>
      </w:tr>
      <w:tr>
        <w:tc>
          <w:tcPr>
            <w:tcW w:type="dxa" w:w="3135"/>
            <w:shd w:val="clear" w:color="auto" w:fill="F4F6F9"/>
          </w:tcPr>
          <w:p>
            <w:r>
              <w:rPr>
                <w:b w:val="0"/>
                <w:sz w:val="19"/>
              </w:rPr>
              <w:t>¿Los actos son reales?</w:t>
            </w:r>
          </w:p>
        </w:tc>
        <w:tc>
          <w:tcPr>
            <w:tcW w:type="dxa" w:w="3135"/>
            <w:shd w:val="clear" w:color="auto" w:fill="F4F6F9"/>
          </w:tcPr>
          <w:p>
            <w:r>
              <w:rPr>
                <w:b w:val="0"/>
                <w:sz w:val="19"/>
              </w:rPr>
              <w:t>SÍ — la sociedad existe, hay socios y distribución real</w:t>
            </w:r>
          </w:p>
        </w:tc>
        <w:tc>
          <w:tcPr>
            <w:tcW w:type="dxa" w:w="3135"/>
            <w:shd w:val="clear" w:color="auto" w:fill="F4F6F9"/>
          </w:tcPr>
          <w:p>
            <w:r>
              <w:rPr>
                <w:b w:val="0"/>
                <w:sz w:val="19"/>
              </w:rPr>
              <w:t>NO — hay un acto declarado que disimula otro real y secreto</w:t>
            </w:r>
          </w:p>
        </w:tc>
      </w:tr>
      <w:tr>
        <w:tc>
          <w:tcPr>
            <w:tcW w:type="dxa" w:w="3135"/>
          </w:tcPr>
          <w:p>
            <w:r>
              <w:rPr>
                <w:b w:val="0"/>
                <w:sz w:val="19"/>
              </w:rPr>
              <w:t>¿Hay divergencia entre lo declarado y lo real?</w:t>
            </w:r>
          </w:p>
        </w:tc>
        <w:tc>
          <w:tcPr>
            <w:tcW w:type="dxa" w:w="3135"/>
          </w:tcPr>
          <w:p>
            <w:r>
              <w:rPr>
                <w:b w:val="0"/>
                <w:sz w:val="19"/>
              </w:rPr>
              <w:t>NO — el contrato dice exactamente lo que se hace</w:t>
            </w:r>
          </w:p>
        </w:tc>
        <w:tc>
          <w:tcPr>
            <w:tcW w:type="dxa" w:w="3135"/>
          </w:tcPr>
          <w:p>
            <w:r>
              <w:rPr>
                <w:b w:val="0"/>
                <w:sz w:val="19"/>
              </w:rPr>
              <w:t>SÍ — hay voluntad real oculta distinta de la declarada</w:t>
            </w:r>
          </w:p>
        </w:tc>
      </w:tr>
      <w:tr>
        <w:tc>
          <w:tcPr>
            <w:tcW w:type="dxa" w:w="3135"/>
            <w:shd w:val="clear" w:color="auto" w:fill="F4F6F9"/>
          </w:tcPr>
          <w:p>
            <w:r>
              <w:rPr>
                <w:b w:val="0"/>
                <w:sz w:val="19"/>
              </w:rPr>
              <w:t>¿Qué se cuestiona?</w:t>
            </w:r>
          </w:p>
        </w:tc>
        <w:tc>
          <w:tcPr>
            <w:tcW w:type="dxa" w:w="3135"/>
            <w:shd w:val="clear" w:color="auto" w:fill="F4F6F9"/>
          </w:tcPr>
          <w:p>
            <w:r>
              <w:rPr>
                <w:b w:val="0"/>
                <w:sz w:val="19"/>
              </w:rPr>
              <w:t>La FORMA jurídica elegida (inapropiada para el sustrato económico)</w:t>
            </w:r>
          </w:p>
        </w:tc>
        <w:tc>
          <w:tcPr>
            <w:tcW w:type="dxa" w:w="3135"/>
            <w:shd w:val="clear" w:color="auto" w:fill="F4F6F9"/>
          </w:tcPr>
          <w:p>
            <w:r>
              <w:rPr>
                <w:b w:val="0"/>
                <w:sz w:val="19"/>
              </w:rPr>
              <w:t>El CONTENIDO del acto (simula algo que no existe)</w:t>
            </w:r>
          </w:p>
        </w:tc>
      </w:tr>
      <w:tr>
        <w:tc>
          <w:tcPr>
            <w:tcW w:type="dxa" w:w="3135"/>
          </w:tcPr>
          <w:p>
            <w:r>
              <w:rPr>
                <w:b w:val="0"/>
                <w:sz w:val="19"/>
              </w:rPr>
              <w:t>¿Qué debe probar el SII?</w:t>
            </w:r>
          </w:p>
        </w:tc>
        <w:tc>
          <w:tcPr>
            <w:tcW w:type="dxa" w:w="3135"/>
          </w:tcPr>
          <w:p>
            <w:r>
              <w:rPr>
                <w:b w:val="0"/>
                <w:sz w:val="19"/>
              </w:rPr>
              <w:t>Ausencia de efectos jurídicos/económicos relevantes distintos del tributario</w:t>
            </w:r>
          </w:p>
        </w:tc>
        <w:tc>
          <w:tcPr>
            <w:tcW w:type="dxa" w:w="3135"/>
          </w:tcPr>
          <w:p>
            <w:r>
              <w:rPr>
                <w:b w:val="0"/>
                <w:sz w:val="19"/>
              </w:rPr>
              <w:t>Existencia de un acto oculto o disimulado</w:t>
            </w:r>
          </w:p>
        </w:tc>
      </w:tr>
      <w:tr>
        <w:tc>
          <w:tcPr>
            <w:tcW w:type="dxa" w:w="3135"/>
            <w:shd w:val="clear" w:color="auto" w:fill="F4F6F9"/>
          </w:tcPr>
          <w:p>
            <w:r>
              <w:rPr>
                <w:b w:val="0"/>
                <w:sz w:val="19"/>
              </w:rPr>
              <w:t>¿Aplica al Caso 86?</w:t>
            </w:r>
          </w:p>
        </w:tc>
        <w:tc>
          <w:tcPr>
            <w:tcW w:type="dxa" w:w="3135"/>
            <w:shd w:val="clear" w:color="auto" w:fill="F4F6F9"/>
            <w:shd w:val="clear" w:color="auto" w:fill="E8F5E9"/>
          </w:tcPr>
          <w:p>
            <w:r>
              <w:rPr>
                <w:b w:val="0"/>
                <w:sz w:val="19"/>
              </w:rPr>
              <w:t>SÍ → B y C no aportan valor real; la sociedad sirve solo para diluir el IGC de Pedro</w:t>
            </w:r>
          </w:p>
        </w:tc>
        <w:tc>
          <w:tcPr>
            <w:tcW w:type="dxa" w:w="3135"/>
            <w:shd w:val="clear" w:color="auto" w:fill="F4F6F9"/>
            <w:shd w:val="clear" w:color="auto" w:fill="FBEAEA"/>
          </w:tcPr>
          <w:p>
            <w:r>
              <w:rPr>
                <w:b w:val="0"/>
                <w:sz w:val="19"/>
              </w:rPr>
              <w:t>NO → la sociedad y los socios son reales; no hay acto secreto que ocultar</w:t>
            </w:r>
          </w:p>
        </w:tc>
      </w:tr>
    </w:tbl>
    <w:p/>
    <w:tbl>
      <w:tblPr>
        <w:tblW w:type="auto" w:w="0"/>
        <w:jc w:val="center"/>
        <w:tblLook w:firstColumn="1" w:firstRow="1" w:lastColumn="0" w:lastRow="0" w:noHBand="0" w:noVBand="1" w:val="04A0"/>
      </w:tblPr>
      <w:tblGrid>
        <w:gridCol w:w="9406"/>
      </w:tblGrid>
      <w:tr>
        <w:tc>
          <w:tcPr>
            <w:tcW w:type="dxa" w:w="9406"/>
            <w:shd w:val="clear" w:color="auto" w:fill="EBF3FB"/>
          </w:tcPr>
          <w:p>
            <w:pPr>
              <w:spacing w:before="80" w:after="80"/>
              <w:jc w:val="both"/>
            </w:pPr>
            <w:r>
              <w:rPr>
                <w:b/>
                <w:color w:val="1A3A5C"/>
                <w:sz w:val="21"/>
              </w:rPr>
              <w:t>CONCLUSIÓN DEL GRUPO: El Caso 86 es ABUSO de las formas jurídicas (Art. 4 ter CT). Los actos son reales pero se utiliza una figura societaria de forma inapropiada, sin sustancia económica real para B y C, con el único propósito de reducir el IGC de Pedro.</w:t>
            </w:r>
          </w:p>
        </w:tc>
      </w:tr>
    </w:tbl>
    <w:p/>
    <w:p>
      <w:pPr>
        <w:spacing w:before="200" w:after="80"/>
        <w:pBdr>
          <w:bottom w:val="single" w:sz="8" w:space="1" w:color="2E6DA4"/>
        </w:pBdr>
      </w:pPr>
      <w:r>
        <w:rPr>
          <w:b/>
          <w:color w:val="1A3A5C"/>
          <w:sz w:val="24"/>
        </w:rPr>
        <w:t>IV.  ¿POR QUÉ ES ABUSO? — LOS TRES ELEMENTOS DEL ART. 4 TER CT</w:t>
      </w:r>
    </w:p>
    <w:p>
      <w:pPr>
        <w:jc w:val="both"/>
      </w:pPr>
      <w:r>
        <w:rPr>
          <w:b w:val="0"/>
          <w:i w:val="0"/>
          <w:sz w:val="21"/>
        </w:rPr>
        <w:t>El Art. 4 ter CT exige que concurran tres elementos. En el Caso 86, los tres están presentes:</w:t>
      </w:r>
    </w:p>
    <w:p>
      <w:pPr>
        <w:spacing w:before="120" w:after="40"/>
      </w:pPr>
      <w:r>
        <w:rPr>
          <w:b/>
          <w:color w:val="2E6DA4"/>
          <w:sz w:val="22"/>
        </w:rPr>
        <w:t>Elemento 1 — Reducción de la obligación tributaria</w:t>
      </w:r>
    </w:p>
    <w:p>
      <w:pPr>
        <w:jc w:val="both"/>
      </w:pPr>
      <w:r>
        <w:rPr>
          <w:b w:val="0"/>
          <w:i w:val="0"/>
          <w:sz w:val="21"/>
        </w:rPr>
        <w:t>Pedro, con ingresos de $300 millones, debería tributar en el tramo más alto del IGC. Con el esquema, cada socio declara solo $100 millones, cayendo en un tramo inferior. El ahorro fiscal no es consecuencia de planificación legítima, sino de fraccionar artificialmente un ingreso que económicamente pertenece solo a Pedro.</w:t>
      </w:r>
    </w:p>
    <w:p>
      <w:pPr>
        <w:spacing w:before="120" w:after="40"/>
      </w:pPr>
      <w:r>
        <w:rPr>
          <w:b/>
          <w:color w:val="2E6DA4"/>
          <w:sz w:val="22"/>
        </w:rPr>
        <w:t>Elemento 2 — Ausencia de efectos jurídicos o económicos relevantes</w:t>
      </w:r>
    </w:p>
    <w:p>
      <w:pPr>
        <w:jc w:val="both"/>
      </w:pPr>
      <w:r>
        <w:rPr>
          <w:b w:val="0"/>
          <w:i w:val="0"/>
          <w:sz w:val="21"/>
        </w:rPr>
        <w:t>¿Qué aportan realmente B y C a la sociedad D? Ninguna de las siguientes cosas:</w:t>
      </w:r>
    </w:p>
    <w:tbl>
      <w:tblPr>
        <w:tblStyle w:val="LightGrid-Accent1"/>
        <w:tblW w:type="auto" w:w="0"/>
        <w:jc w:val="center"/>
        <w:tblLook w:firstColumn="1" w:firstRow="1" w:lastColumn="0" w:lastRow="0" w:noHBand="0" w:noVBand="1" w:val="04A0"/>
      </w:tblPr>
      <w:tblGrid>
        <w:gridCol w:w="4703"/>
        <w:gridCol w:w="4703"/>
      </w:tblGrid>
      <w:tr>
        <w:tc>
          <w:tcPr>
            <w:tcW w:type="dxa" w:w="4703"/>
            <w:shd w:val="clear" w:color="auto" w:fill="1A3A5C"/>
          </w:tcPr>
          <w:p>
            <w:r>
              <w:rPr>
                <w:b/>
                <w:color w:val="FFFFFF"/>
                <w:sz w:val="20"/>
              </w:rPr>
              <w:t>¿Aportan B y C...?</w:t>
            </w:r>
          </w:p>
        </w:tc>
        <w:tc>
          <w:tcPr>
            <w:tcW w:type="dxa" w:w="4703"/>
            <w:shd w:val="clear" w:color="auto" w:fill="1A3A5C"/>
          </w:tcPr>
          <w:p>
            <w:r>
              <w:rPr>
                <w:b/>
                <w:color w:val="FFFFFF"/>
                <w:sz w:val="20"/>
              </w:rPr>
              <w:t>Respuesta</w:t>
            </w:r>
          </w:p>
        </w:tc>
      </w:tr>
      <w:tr>
        <w:tc>
          <w:tcPr>
            <w:tcW w:type="dxa" w:w="4703"/>
            <w:shd w:val="clear" w:color="auto" w:fill="FBEAEA"/>
          </w:tcPr>
          <w:p>
            <w:r>
              <w:rPr>
                <w:b w:val="0"/>
                <w:sz w:val="19"/>
              </w:rPr>
              <w:t>Servicios profesionales o atención de clientes</w:t>
            </w:r>
          </w:p>
        </w:tc>
        <w:tc>
          <w:tcPr>
            <w:tcW w:type="dxa" w:w="4703"/>
            <w:shd w:val="clear" w:color="auto" w:fill="FBEAEA"/>
          </w:tcPr>
          <w:p>
            <w:r>
              <w:rPr>
                <w:b w:val="0"/>
                <w:sz w:val="19"/>
              </w:rPr>
              <w:t>✖  No. Solo Pedro trabaja.</w:t>
            </w:r>
          </w:p>
        </w:tc>
      </w:tr>
      <w:tr>
        <w:tc>
          <w:tcPr>
            <w:tcW w:type="dxa" w:w="4703"/>
          </w:tcPr>
          <w:p>
            <w:r>
              <w:rPr>
                <w:b w:val="0"/>
                <w:sz w:val="19"/>
              </w:rPr>
              <w:t>Capital significativo respecto a los ingresos</w:t>
            </w:r>
          </w:p>
        </w:tc>
        <w:tc>
          <w:tcPr>
            <w:tcW w:type="dxa" w:w="4703"/>
          </w:tcPr>
          <w:p>
            <w:r>
              <w:rPr>
                <w:b w:val="0"/>
                <w:sz w:val="19"/>
              </w:rPr>
              <w:t>✖  Capital simbólico; los ingresos son $300 MM.</w:t>
            </w:r>
          </w:p>
        </w:tc>
      </w:tr>
      <w:tr>
        <w:tc>
          <w:tcPr>
            <w:tcW w:type="dxa" w:w="4703"/>
            <w:shd w:val="clear" w:color="auto" w:fill="FBEAEA"/>
          </w:tcPr>
          <w:p>
            <w:r>
              <w:rPr>
                <w:b w:val="0"/>
                <w:sz w:val="19"/>
              </w:rPr>
              <w:t>Clientela, contactos o cartera propia</w:t>
            </w:r>
          </w:p>
        </w:tc>
        <w:tc>
          <w:tcPr>
            <w:tcW w:type="dxa" w:w="4703"/>
            <w:shd w:val="clear" w:color="auto" w:fill="FBEAEA"/>
          </w:tcPr>
          <w:p>
            <w:r>
              <w:rPr>
                <w:b w:val="0"/>
                <w:sz w:val="19"/>
              </w:rPr>
              <w:t>✖  No.</w:t>
            </w:r>
          </w:p>
        </w:tc>
      </w:tr>
      <w:tr>
        <w:tc>
          <w:tcPr>
            <w:tcW w:type="dxa" w:w="4703"/>
          </w:tcPr>
          <w:p>
            <w:r>
              <w:rPr>
                <w:b w:val="0"/>
                <w:sz w:val="19"/>
              </w:rPr>
              <w:t>Dirección estratégica o decisiones empresariales</w:t>
            </w:r>
          </w:p>
        </w:tc>
        <w:tc>
          <w:tcPr>
            <w:tcW w:type="dxa" w:w="4703"/>
          </w:tcPr>
          <w:p>
            <w:r>
              <w:rPr>
                <w:b w:val="0"/>
                <w:sz w:val="19"/>
              </w:rPr>
              <w:t>✖  No. Solo reciben retiros de utilidades.</w:t>
            </w:r>
          </w:p>
        </w:tc>
      </w:tr>
    </w:tbl>
    <w:p/>
    <w:p>
      <w:pPr>
        <w:spacing w:before="120" w:after="40"/>
      </w:pPr>
      <w:r>
        <w:rPr>
          <w:b/>
          <w:color w:val="2E6DA4"/>
          <w:sz w:val="22"/>
        </w:rPr>
        <w:t>Elemento 3 — Forma jurídica inapropiada para el sustrato económico</w:t>
      </w:r>
    </w:p>
    <w:p>
      <w:pPr>
        <w:jc w:val="both"/>
      </w:pPr>
      <w:r>
        <w:rPr>
          <w:b w:val="0"/>
          <w:i w:val="0"/>
          <w:sz w:val="21"/>
        </w:rPr>
        <w:t>La sociedad de profesionales es una figura creada para que varios profesionales se organicen conjuntamente. No está pensada para canalizar el trabajo individual de uno solo y repartir sus utilidades entre socios pasivos. Usar esa forma jurídica para ese propósito es exactamente lo que el Art. 4 ter CT define como abuso.</w:t>
      </w:r>
    </w:p>
    <w:p>
      <w:pPr>
        <w:spacing w:before="200" w:after="80"/>
        <w:pBdr>
          <w:bottom w:val="single" w:sz="8" w:space="1" w:color="2E6DA4"/>
        </w:pBdr>
      </w:pPr>
      <w:r>
        <w:rPr>
          <w:b/>
          <w:color w:val="1A3A5C"/>
          <w:sz w:val="24"/>
        </w:rPr>
        <w:t>V.  EFECTO TRIBUTARIO — EJEMPLO CON NÚMEROS</w:t>
      </w:r>
    </w:p>
    <w:p>
      <w:pPr>
        <w:jc w:val="both"/>
      </w:pPr>
      <w:r>
        <w:rPr>
          <w:b w:val="0"/>
          <w:i w:val="0"/>
          <w:sz w:val="21"/>
        </w:rPr>
        <w:t>Para ilustrar el perjuicio fiscal, consideremos a Pedro con honorarios anuales de $300 MM y una tabla simplificada del IGC. Los tramos son aproximados a efectos ilustrativos: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shd w:val="clear" w:color="auto" w:fill="1A3A5C"/>
          </w:tcPr>
          <w:p>
            <w:r>
              <w:rPr>
                <w:b/>
                <w:color w:val="FFFFFF"/>
                <w:sz w:val="20"/>
              </w:rPr>
              <w:t>Escenario</w:t>
            </w:r>
          </w:p>
        </w:tc>
        <w:tc>
          <w:tcPr>
            <w:tcW w:type="dxa" w:w="2351"/>
            <w:shd w:val="clear" w:color="auto" w:fill="1A3A5C"/>
          </w:tcPr>
          <w:p>
            <w:r>
              <w:rPr>
                <w:b/>
                <w:color w:val="FFFFFF"/>
                <w:sz w:val="20"/>
              </w:rPr>
              <w:t>Renta declarada por Pedro</w:t>
            </w:r>
          </w:p>
        </w:tc>
        <w:tc>
          <w:tcPr>
            <w:tcW w:type="dxa" w:w="2351"/>
            <w:shd w:val="clear" w:color="auto" w:fill="1A3A5C"/>
          </w:tcPr>
          <w:p>
            <w:r>
              <w:rPr>
                <w:b/>
                <w:color w:val="FFFFFF"/>
                <w:sz w:val="20"/>
              </w:rPr>
              <w:t>Tramo IGC aplicable</w:t>
            </w:r>
          </w:p>
        </w:tc>
        <w:tc>
          <w:tcPr>
            <w:tcW w:type="dxa" w:w="2351"/>
            <w:shd w:val="clear" w:color="auto" w:fill="1A3A5C"/>
          </w:tcPr>
          <w:p>
            <w:r>
              <w:rPr>
                <w:b/>
                <w:color w:val="FFFFFF"/>
                <w:sz w:val="20"/>
              </w:rPr>
              <w:t>Resultado</w:t>
            </w:r>
          </w:p>
        </w:tc>
      </w:tr>
      <w:tr>
        <w:tc>
          <w:tcPr>
            <w:tcW w:type="dxa" w:w="2351"/>
            <w:shd w:val="clear" w:color="auto" w:fill="EBF3FB"/>
          </w:tcPr>
          <w:p>
            <w:r>
              <w:rPr>
                <w:b w:val="0"/>
                <w:sz w:val="19"/>
              </w:rPr>
              <w:t>Sin esquema</w:t>
              <w:br/>
              <w:t>(Pedro trabaja solo)</w:t>
            </w:r>
          </w:p>
        </w:tc>
        <w:tc>
          <w:tcPr>
            <w:tcW w:type="dxa" w:w="2351"/>
            <w:shd w:val="clear" w:color="auto" w:fill="EBF3FB"/>
          </w:tcPr>
          <w:p>
            <w:r>
              <w:rPr>
                <w:b w:val="0"/>
                <w:sz w:val="19"/>
              </w:rPr>
              <w:t>$300 MM (Pedro declara todo)</w:t>
            </w:r>
          </w:p>
        </w:tc>
        <w:tc>
          <w:tcPr>
            <w:tcW w:type="dxa" w:w="2351"/>
            <w:shd w:val="clear" w:color="auto" w:fill="EBF3FB"/>
          </w:tcPr>
          <w:p>
            <w:r>
              <w:rPr>
                <w:b w:val="0"/>
                <w:sz w:val="19"/>
              </w:rPr>
              <w:t>Tramo ≈ 40% (tramo máximo)</w:t>
            </w:r>
          </w:p>
        </w:tc>
        <w:tc>
          <w:tcPr>
            <w:tcW w:type="dxa" w:w="2351"/>
            <w:shd w:val="clear" w:color="auto" w:fill="EBF3FB"/>
          </w:tcPr>
          <w:p>
            <w:r>
              <w:rPr>
                <w:b w:val="0"/>
                <w:sz w:val="19"/>
              </w:rPr>
              <w:t>Pedro paga IGC alto</w:t>
            </w:r>
          </w:p>
        </w:tc>
      </w:tr>
      <w:tr>
        <w:tc>
          <w:tcPr>
            <w:tcW w:type="dxa" w:w="2351"/>
            <w:shd w:val="clear" w:color="auto" w:fill="FBEAEA"/>
          </w:tcPr>
          <w:p>
            <w:r>
              <w:rPr>
                <w:b w:val="0"/>
                <w:sz w:val="19"/>
              </w:rPr>
              <w:t>Con esquema D</w:t>
              <w:br/>
              <w:t>(3 socios iguales)</w:t>
            </w:r>
          </w:p>
        </w:tc>
        <w:tc>
          <w:tcPr>
            <w:tcW w:type="dxa" w:w="2351"/>
            <w:shd w:val="clear" w:color="auto" w:fill="FBEAEA"/>
          </w:tcPr>
          <w:p>
            <w:r>
              <w:rPr>
                <w:b w:val="0"/>
                <w:sz w:val="19"/>
              </w:rPr>
              <w:t>$100 MM (Pedro · B · C, c/u declara 1/3)</w:t>
            </w:r>
          </w:p>
        </w:tc>
        <w:tc>
          <w:tcPr>
            <w:tcW w:type="dxa" w:w="2351"/>
            <w:shd w:val="clear" w:color="auto" w:fill="FBEAEA"/>
          </w:tcPr>
          <w:p>
            <w:r>
              <w:rPr>
                <w:b w:val="0"/>
                <w:sz w:val="19"/>
              </w:rPr>
              <w:t>Cada socio en tramo ≈ 23–35%</w:t>
            </w:r>
          </w:p>
        </w:tc>
        <w:tc>
          <w:tcPr>
            <w:tcW w:type="dxa" w:w="2351"/>
            <w:shd w:val="clear" w:color="auto" w:fill="FBEAEA"/>
          </w:tcPr>
          <w:p>
            <w:r>
              <w:rPr>
                <w:b w:val="0"/>
                <w:sz w:val="19"/>
              </w:rPr>
              <w:t>Ahorro artificial del IGC de Pedro</w:t>
            </w:r>
          </w:p>
        </w:tc>
      </w:tr>
      <w:tr>
        <w:tc>
          <w:tcPr>
            <w:tcW w:type="dxa" w:w="2351"/>
            <w:shd w:val="clear" w:color="auto" w:fill="FDE9D9"/>
          </w:tcPr>
          <w:p>
            <w:r>
              <w:rPr>
                <w:b w:val="0"/>
                <w:sz w:val="19"/>
              </w:rPr>
              <w:t>Diferencial estimado</w:t>
            </w:r>
          </w:p>
        </w:tc>
        <w:tc>
          <w:tcPr>
            <w:tcW w:type="dxa" w:w="2351"/>
            <w:shd w:val="clear" w:color="auto" w:fill="FDE9D9"/>
          </w:tcPr>
          <w:p>
            <w:r>
              <w:rPr>
                <w:b w:val="0"/>
                <w:sz w:val="19"/>
              </w:rPr>
              <w:t>Pedro genera el 100% de los $300 MM</w:t>
            </w:r>
          </w:p>
        </w:tc>
        <w:tc>
          <w:tcPr>
            <w:tcW w:type="dxa" w:w="2351"/>
            <w:shd w:val="clear" w:color="auto" w:fill="FDE9D9"/>
          </w:tcPr>
          <w:p>
            <w:r>
              <w:rPr>
                <w:b w:val="0"/>
                <w:sz w:val="19"/>
              </w:rPr>
              <w:t>Diferencia de tramos = ahorro real</w:t>
            </w:r>
          </w:p>
        </w:tc>
        <w:tc>
          <w:tcPr>
            <w:tcW w:type="dxa" w:w="2351"/>
            <w:shd w:val="clear" w:color="auto" w:fill="FDE9D9"/>
          </w:tcPr>
          <w:p>
            <w:r>
              <w:rPr>
                <w:b w:val="0"/>
                <w:sz w:val="19"/>
              </w:rPr>
              <w:t>PERJUICIO FISCAL → ABUSO</w:t>
            </w:r>
          </w:p>
        </w:tc>
      </w:tr>
    </w:tbl>
    <w:p/>
    <w:p>
      <w:pPr>
        <w:jc w:val="both"/>
      </w:pPr>
      <w:r>
        <w:rPr>
          <w:b/>
          <w:i w:val="0"/>
          <w:color w:val="B03030"/>
          <w:sz w:val="21"/>
        </w:rPr>
        <w:t>Si el SII aplica exitosamente el Art. 4 quinquies CT, el efecto para Pedro es: (1) se le atribuye el total de $300 MM para su IGC; (2) se aplican intereses y multas sobre la diferencia de impuestos no pagados; (3) los retiros percibidos por B y C son recalificados en su propio IGC según corresponda.</w:t>
      </w:r>
    </w:p>
    <w:p>
      <w:r>
        <w:br w:type="page"/>
      </w:r>
    </w:p>
    <w:p>
      <w:pPr>
        <w:spacing w:before="200" w:after="80"/>
        <w:pBdr>
          <w:bottom w:val="single" w:sz="8" w:space="1" w:color="2E6DA4"/>
        </w:pBdr>
      </w:pPr>
      <w:r>
        <w:rPr>
          <w:b/>
          <w:color w:val="1A3A5C"/>
          <w:sz w:val="24"/>
        </w:rPr>
        <w:t>VI.  ¿QUÉ PUEDE HACER PEDRO? — ALTERNATIVAS LEGÍTIMAS</w:t>
      </w:r>
    </w:p>
    <w:p>
      <w:pPr>
        <w:jc w:val="both"/>
      </w:pPr>
      <w:r>
        <w:rPr>
          <w:b w:val="0"/>
          <w:i w:val="0"/>
          <w:sz w:val="21"/>
        </w:rPr>
        <w:t>El problema no es ejercer como sociedad, sino hacerlo de forma que carezca de sustancia económica real. Existen alternativas legítimas que Pedro puede adoptar sin exponerse a NGA:</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val="clear" w:color="auto" w:fill="1A3A5C"/>
          </w:tcPr>
          <w:p>
            <w:r>
              <w:rPr>
                <w:b/>
                <w:color w:val="FFFFFF"/>
                <w:sz w:val="20"/>
              </w:rPr>
              <w:t>Alternativa</w:t>
            </w:r>
          </w:p>
        </w:tc>
        <w:tc>
          <w:tcPr>
            <w:tcW w:type="dxa" w:w="3135"/>
            <w:shd w:val="clear" w:color="auto" w:fill="1A3A5C"/>
          </w:tcPr>
          <w:p>
            <w:r>
              <w:rPr>
                <w:b/>
                <w:color w:val="FFFFFF"/>
                <w:sz w:val="20"/>
              </w:rPr>
              <w:t>¿En qué consiste?</w:t>
            </w:r>
          </w:p>
        </w:tc>
        <w:tc>
          <w:tcPr>
            <w:tcW w:type="dxa" w:w="3135"/>
            <w:shd w:val="clear" w:color="auto" w:fill="1A3A5C"/>
          </w:tcPr>
          <w:p>
            <w:r>
              <w:rPr>
                <w:b/>
                <w:color w:val="FFFFFF"/>
                <w:sz w:val="20"/>
              </w:rPr>
              <w:t>Ventaja / Condición</w:t>
            </w:r>
          </w:p>
        </w:tc>
      </w:tr>
      <w:tr>
        <w:tc>
          <w:tcPr>
            <w:tcW w:type="dxa" w:w="3135"/>
            <w:shd w:val="clear" w:color="auto" w:fill="F4F6F9"/>
          </w:tcPr>
          <w:p>
            <w:r>
              <w:rPr>
                <w:b w:val="0"/>
                <w:sz w:val="19"/>
              </w:rPr>
              <w:t>Alt. 1</w:t>
              <w:br/>
              <w:t>Profesional independiente</w:t>
            </w:r>
          </w:p>
        </w:tc>
        <w:tc>
          <w:tcPr>
            <w:tcW w:type="dxa" w:w="3135"/>
            <w:shd w:val="clear" w:color="auto" w:fill="F4F6F9"/>
          </w:tcPr>
          <w:p>
            <w:r>
              <w:rPr>
                <w:b w:val="0"/>
                <w:sz w:val="19"/>
              </w:rPr>
              <w:t>Pedro emite boletas de honorarios directamente. Paga IGC sobre sus ingresos. Puede deducir gastos efectivos o presuntos (30%, tope 15 UTA).</w:t>
            </w:r>
          </w:p>
        </w:tc>
        <w:tc>
          <w:tcPr>
            <w:tcW w:type="dxa" w:w="3135"/>
            <w:shd w:val="clear" w:color="auto" w:fill="F4F6F9"/>
          </w:tcPr>
          <w:p>
            <w:r>
              <w:rPr>
                <w:b w:val="0"/>
                <w:sz w:val="19"/>
              </w:rPr>
              <w:t>Sencillo, sin riesgo de NGA. Sin beneficio societario.</w:t>
            </w:r>
          </w:p>
        </w:tc>
      </w:tr>
      <w:tr>
        <w:tc>
          <w:tcPr>
            <w:tcW w:type="dxa" w:w="3135"/>
          </w:tcPr>
          <w:p>
            <w:r>
              <w:rPr>
                <w:b w:val="0"/>
                <w:sz w:val="19"/>
              </w:rPr>
              <w:t>Alt. 2</w:t>
              <w:br/>
              <w:t>Sociedad con socios que trabajen</w:t>
            </w:r>
          </w:p>
        </w:tc>
        <w:tc>
          <w:tcPr>
            <w:tcW w:type="dxa" w:w="3135"/>
          </w:tcPr>
          <w:p>
            <w:r>
              <w:rPr>
                <w:b w:val="0"/>
                <w:sz w:val="19"/>
              </w:rPr>
              <w:t>Pedro se asocia con otros médicos u otros profesionales que efectivamente atiendan pacientes o presten servicios para la sociedad.</w:t>
            </w:r>
          </w:p>
        </w:tc>
        <w:tc>
          <w:tcPr>
            <w:tcW w:type="dxa" w:w="3135"/>
          </w:tcPr>
          <w:p>
            <w:r>
              <w:rPr>
                <w:b w:val="0"/>
                <w:sz w:val="19"/>
              </w:rPr>
              <w:t>Califica legítimamente como sociedad de profesionales. La distribución de utilidades refleja trabajo real.</w:t>
            </w:r>
          </w:p>
        </w:tc>
      </w:tr>
      <w:tr>
        <w:tc>
          <w:tcPr>
            <w:tcW w:type="dxa" w:w="3135"/>
            <w:shd w:val="clear" w:color="auto" w:fill="F4F6F9"/>
          </w:tcPr>
          <w:p>
            <w:r>
              <w:rPr>
                <w:b w:val="0"/>
                <w:sz w:val="19"/>
              </w:rPr>
              <w:t>Alt. 3</w:t>
              <w:br/>
              <w:t>Distribución proporcional al trabajo</w:t>
            </w:r>
          </w:p>
        </w:tc>
        <w:tc>
          <w:tcPr>
            <w:tcW w:type="dxa" w:w="3135"/>
            <w:shd w:val="clear" w:color="auto" w:fill="F4F6F9"/>
          </w:tcPr>
          <w:p>
            <w:r>
              <w:rPr>
                <w:b w:val="0"/>
                <w:sz w:val="19"/>
              </w:rPr>
              <w:t>Si D se mantiene con A, B y C, los estatutos establecen que Pedro recibe el 90% de las utilidades, y B y C un 5% cada uno, acorde a su aporte real.</w:t>
            </w:r>
          </w:p>
        </w:tc>
        <w:tc>
          <w:tcPr>
            <w:tcW w:type="dxa" w:w="3135"/>
            <w:shd w:val="clear" w:color="auto" w:fill="F4F6F9"/>
          </w:tcPr>
          <w:p>
            <w:r>
              <w:rPr>
                <w:b w:val="0"/>
                <w:sz w:val="19"/>
              </w:rPr>
              <w:t>Debe existir aporte efectivo de B y C, aunque sea menor. La distribución debe ser económicamente justificada.</w:t>
            </w:r>
          </w:p>
        </w:tc>
      </w:tr>
      <w:tr>
        <w:tc>
          <w:tcPr>
            <w:tcW w:type="dxa" w:w="3135"/>
          </w:tcPr>
          <w:p>
            <w:r>
              <w:rPr>
                <w:b w:val="0"/>
                <w:sz w:val="19"/>
              </w:rPr>
              <w:t>Alt. 4</w:t>
              <w:br/>
              <w:t>SpA régimen Pro Pyme (14D N°3)</w:t>
            </w:r>
          </w:p>
        </w:tc>
        <w:tc>
          <w:tcPr>
            <w:tcW w:type="dxa" w:w="3135"/>
          </w:tcPr>
          <w:p>
            <w:r>
              <w:rPr>
                <w:b w:val="0"/>
                <w:sz w:val="19"/>
              </w:rPr>
              <w:t>Constituir SpA con Pedro como único accionista. Tributación de la empresa al 25% de IDPC; Pedro paga IGC sobre retiros. Permite reinversión y planificación.</w:t>
            </w:r>
          </w:p>
        </w:tc>
        <w:tc>
          <w:tcPr>
            <w:tcW w:type="dxa" w:w="3135"/>
          </w:tcPr>
          <w:p>
            <w:r>
              <w:rPr>
                <w:b w:val="0"/>
                <w:sz w:val="19"/>
              </w:rPr>
              <w:t>No tiene restricciones de sociedad de profesionales. Requiere sustancia económica en la sociedad.</w:t>
            </w:r>
          </w:p>
        </w:tc>
      </w:tr>
      <w:tr>
        <w:tc>
          <w:tcPr>
            <w:tcW w:type="dxa" w:w="3135"/>
            <w:shd w:val="clear" w:color="auto" w:fill="F4F6F9"/>
          </w:tcPr>
          <w:p>
            <w:r>
              <w:rPr>
                <w:b w:val="0"/>
                <w:sz w:val="19"/>
              </w:rPr>
              <w:t>Alt. 5</w:t>
              <w:br/>
              <w:t>Régimen Transparente (14D N°8)</w:t>
            </w:r>
          </w:p>
        </w:tc>
        <w:tc>
          <w:tcPr>
            <w:tcW w:type="dxa" w:w="3135"/>
            <w:shd w:val="clear" w:color="auto" w:fill="F4F6F9"/>
          </w:tcPr>
          <w:p>
            <w:r>
              <w:rPr>
                <w:b w:val="0"/>
                <w:sz w:val="19"/>
              </w:rPr>
              <w:t>Si los socios son solo personas naturales, la empresa no paga IDPC; cada socio paga IGC directo sobre su participación.</w:t>
            </w:r>
          </w:p>
        </w:tc>
        <w:tc>
          <w:tcPr>
            <w:tcW w:type="dxa" w:w="3135"/>
            <w:shd w:val="clear" w:color="auto" w:fill="F4F6F9"/>
          </w:tcPr>
          <w:p>
            <w:r>
              <w:rPr>
                <w:b w:val="0"/>
                <w:sz w:val="19"/>
              </w:rPr>
              <w:t>ATENCIÓN: no soluciona el problema si B y C siguen sin aportar valor real. Solo válido con socios con sustancia.</w:t>
            </w:r>
          </w:p>
        </w:tc>
      </w:tr>
    </w:tbl>
    <w:p/>
    <w:p>
      <w:pPr>
        <w:spacing w:before="200" w:after="80"/>
        <w:pBdr>
          <w:bottom w:val="single" w:sz="8" w:space="1" w:color="2E6DA4"/>
        </w:pBdr>
      </w:pPr>
      <w:r>
        <w:rPr>
          <w:b/>
          <w:color w:val="1A3A5C"/>
          <w:sz w:val="24"/>
        </w:rPr>
        <w:t>VII.  CONCLUSIONES</w:t>
      </w:r>
    </w:p>
    <w:p>
      <w:pPr>
        <w:spacing w:before="120" w:after="40"/>
      </w:pPr>
      <w:r>
        <w:rPr>
          <w:b/>
          <w:color w:val="1A3A5C"/>
          <w:sz w:val="22"/>
        </w:rPr>
        <w:t>1. ABUSO, no simulación.</w:t>
      </w:r>
    </w:p>
    <w:p>
      <w:pPr>
        <w:jc w:val="both"/>
      </w:pPr>
      <w:r>
        <w:rPr>
          <w:b w:val="0"/>
          <w:i w:val="0"/>
          <w:sz w:val="21"/>
        </w:rPr>
        <w:t>El Caso 86 configura un abuso de las formas jurídicas (Art. 4 ter CT). La sociedad y los socios son reales, pero la forma es inapropiada: no hay sustancia económica en B y C. No hay acto secreto, por lo tanto no es simulación.</w:t>
      </w:r>
    </w:p>
    <w:p>
      <w:pPr>
        <w:spacing w:before="120" w:after="40"/>
      </w:pPr>
      <w:r>
        <w:rPr>
          <w:b/>
          <w:color w:val="1A3A5C"/>
          <w:sz w:val="22"/>
        </w:rPr>
        <w:t>2. La sociedad D no califica.</w:t>
      </w:r>
    </w:p>
    <w:p>
      <w:pPr>
        <w:jc w:val="both"/>
      </w:pPr>
      <w:r>
        <w:rPr>
          <w:b w:val="0"/>
          <w:i w:val="0"/>
          <w:sz w:val="21"/>
        </w:rPr>
        <w:t>Por incumplimiento de los requisitos de las Circulares N°21/1991 y N°50/2020 (no todos los socios ejercen su profesión para la sociedad), D no es una sociedad de profesionales legítima bajo el Art. 42 N°2 LIR.</w:t>
      </w:r>
    </w:p>
    <w:p>
      <w:pPr>
        <w:spacing w:before="120" w:after="40"/>
      </w:pPr>
      <w:r>
        <w:rPr>
          <w:b/>
          <w:color w:val="1A3A5C"/>
          <w:sz w:val="22"/>
        </w:rPr>
        <w:t>3. El SII puede actuar.</w:t>
      </w:r>
    </w:p>
    <w:p>
      <w:pPr>
        <w:jc w:val="both"/>
      </w:pPr>
      <w:r>
        <w:rPr>
          <w:b w:val="0"/>
          <w:i w:val="0"/>
          <w:sz w:val="21"/>
        </w:rPr>
        <w:t>Acreditados los elementos del Art. 4 ter CT, el Director puede requerir al TTA la declaración de abuso (Art. 4 quinquies CT). El efecto: atribución íntegra de los $300 MM a Pedro para su IGC, más intereses y multas.</w:t>
      </w:r>
    </w:p>
    <w:p>
      <w:pPr>
        <w:spacing w:before="120" w:after="40"/>
      </w:pPr>
      <w:r>
        <w:rPr>
          <w:b/>
          <w:color w:val="1A3A5C"/>
          <w:sz w:val="22"/>
        </w:rPr>
        <w:t>4. Hay soluciones legítimas.</w:t>
      </w:r>
    </w:p>
    <w:p>
      <w:pPr>
        <w:jc w:val="both"/>
      </w:pPr>
      <w:r>
        <w:rPr>
          <w:b w:val="0"/>
          <w:i w:val="0"/>
          <w:sz w:val="21"/>
        </w:rPr>
        <w:t>Pedro puede organizar su actividad profesional a través de una sociedad, siempre que los socios tengan rol económico real y la distribución de utilidades refleje el aporte efectivo de cada uno.</w:t>
      </w:r>
    </w:p>
    <w:p>
      <w:pPr>
        <w:spacing w:before="120" w:after="40"/>
      </w:pPr>
      <w:r>
        <w:rPr>
          <w:b/>
          <w:color w:val="B03030"/>
          <w:sz w:val="22"/>
        </w:rPr>
        <w:t>5. El mensaje del caso es claro.</w:t>
      </w:r>
    </w:p>
    <w:p>
      <w:pPr>
        <w:jc w:val="both"/>
      </w:pPr>
      <w:r>
        <w:rPr>
          <w:b/>
          <w:i w:val="0"/>
          <w:sz w:val="21"/>
        </w:rPr>
        <w:t>El Derecho Tributario chileno acepta la planificación, pero exige que la forma jurídica tenga una justificación económica real más allá del ahorro fiscal. La NGA actúa precisamente cuando esa justificación no existe.</w:t>
      </w:r>
    </w:p>
    <w:p/>
    <w:p>
      <w:pPr>
        <w:jc w:val="center"/>
      </w:pPr>
      <w:r>
        <w:rPr>
          <w:color w:val="2E6DA4"/>
        </w:rPr>
        <w:t>────────────────────────────────────────────────────────────────────────────────</w:t>
      </w:r>
    </w:p>
    <w:p>
      <w:pPr>
        <w:jc w:val="center"/>
      </w:pPr>
      <w:r>
        <w:rPr>
          <w:i/>
          <w:color w:val="555555"/>
          <w:sz w:val="16"/>
        </w:rPr>
        <w:t>Grupo 4: Andrea Añasco · Gema Sepúlveda · Karen Rebolledo · Nicolás Muñoz</w:t>
        <w:br/>
        <w:t>Magíster en Dirección Tributaria — UVM | Caso 86 · Catálogo SII 2025</w:t>
        <w:br/>
        <w:t>Fuentes: LIR Art. 42 N°2; CT Arts. 4 bis, 4 ter, 4 quáter, 4 quinquies; Circ. N°21/1991; Circ. N°50/2020; Circ. N°65/2015; Oficio N°2359/2022 SII.</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