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F0468" w14:textId="19AAC797" w:rsidR="00CF4592" w:rsidRDefault="00000000">
      <w:pPr>
        <w:spacing w:after="60"/>
        <w:jc w:val="center"/>
      </w:pPr>
      <w:r>
        <w:rPr>
          <w:b/>
          <w:bCs/>
          <w:sz w:val="36"/>
          <w:szCs w:val="36"/>
        </w:rPr>
        <w:t xml:space="preserve">Informe </w:t>
      </w:r>
    </w:p>
    <w:p w14:paraId="1F58D4DD" w14:textId="6D2891DD" w:rsidR="00CF4592" w:rsidRDefault="00000000">
      <w:pPr>
        <w:spacing w:after="360"/>
        <w:jc w:val="center"/>
      </w:pPr>
      <w:proofErr w:type="spellStart"/>
      <w:r>
        <w:rPr>
          <w:color w:val="5A6472"/>
        </w:rPr>
        <w:t>This</w:t>
      </w:r>
      <w:proofErr w:type="spellEnd"/>
      <w:r>
        <w:rPr>
          <w:color w:val="5A6472"/>
        </w:rPr>
        <w:t xml:space="preserve"> Suits · Trabajo Práctico · Desarrollo de Sitios Web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CF4592" w14:paraId="6B112DC2" w14:textId="77777777">
        <w:tblPrEx>
          <w:tblCellMar>
            <w:top w:w="0" w:type="dxa"/>
            <w:bottom w:w="0" w:type="dxa"/>
          </w:tblCellMar>
        </w:tblPrEx>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2DEAD5EA" w14:textId="4E41178E" w:rsidR="00CF4592" w:rsidRDefault="00000000">
            <w:r>
              <w:rPr>
                <w:b/>
                <w:bCs/>
                <w:sz w:val="19"/>
                <w:szCs w:val="19"/>
              </w:rPr>
              <w:t>Integrante</w:t>
            </w:r>
            <w:r w:rsidR="00F275B3">
              <w:rPr>
                <w:b/>
                <w:bCs/>
                <w:sz w:val="19"/>
                <w:szCs w:val="19"/>
              </w:rPr>
              <w:t>s</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251D2B41" w14:textId="0C107E82" w:rsidR="00CF4592" w:rsidRDefault="00F275B3">
            <w:r>
              <w:rPr>
                <w:sz w:val="19"/>
                <w:szCs w:val="19"/>
              </w:rPr>
              <w:t xml:space="preserve">Barrios Roberto S, Galera Franco, </w:t>
            </w:r>
            <w:r w:rsidR="00000000">
              <w:rPr>
                <w:sz w:val="19"/>
                <w:szCs w:val="19"/>
              </w:rPr>
              <w:t>Ortega</w:t>
            </w:r>
            <w:r>
              <w:rPr>
                <w:sz w:val="19"/>
                <w:szCs w:val="19"/>
              </w:rPr>
              <w:t xml:space="preserve"> Nicolas,</w:t>
            </w:r>
          </w:p>
        </w:tc>
      </w:tr>
      <w:tr w:rsidR="00CF4592" w14:paraId="331B5416" w14:textId="77777777">
        <w:tblPrEx>
          <w:tblCellMar>
            <w:top w:w="0" w:type="dxa"/>
            <w:bottom w:w="0" w:type="dxa"/>
          </w:tblCellMar>
        </w:tblPrEx>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D1560D1" w14:textId="77777777" w:rsidR="00CF4592" w:rsidRDefault="00000000">
            <w:r>
              <w:rPr>
                <w:b/>
                <w:bCs/>
                <w:sz w:val="19"/>
                <w:szCs w:val="19"/>
              </w:rPr>
              <w:t>Materia</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82FF6CA" w14:textId="77777777" w:rsidR="00CF4592" w:rsidRDefault="00000000">
            <w:r>
              <w:rPr>
                <w:sz w:val="19"/>
                <w:szCs w:val="19"/>
              </w:rPr>
              <w:t>Desarrollo de Sitios Web — TUTI, UTN Facultad Regional Santa Fe</w:t>
            </w:r>
          </w:p>
        </w:tc>
      </w:tr>
      <w:tr w:rsidR="00CF4592" w14:paraId="1EDE3666" w14:textId="77777777">
        <w:tblPrEx>
          <w:tblCellMar>
            <w:top w:w="0" w:type="dxa"/>
            <w:bottom w:w="0" w:type="dxa"/>
          </w:tblCellMar>
        </w:tblPrEx>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A75AC61" w14:textId="77777777" w:rsidR="00CF4592" w:rsidRDefault="00000000">
            <w:r>
              <w:rPr>
                <w:b/>
                <w:bCs/>
                <w:sz w:val="19"/>
                <w:szCs w:val="19"/>
              </w:rPr>
              <w:t>Proyecto</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F62DDA7" w14:textId="77777777" w:rsidR="00CF4592" w:rsidRDefault="00000000">
            <w:proofErr w:type="spellStart"/>
            <w:r>
              <w:rPr>
                <w:sz w:val="19"/>
                <w:szCs w:val="19"/>
              </w:rPr>
              <w:t>This</w:t>
            </w:r>
            <w:proofErr w:type="spellEnd"/>
            <w:r>
              <w:rPr>
                <w:sz w:val="19"/>
                <w:szCs w:val="19"/>
              </w:rPr>
              <w:t xml:space="preserve"> Suits — alquiler y venta de trajes formales</w:t>
            </w:r>
          </w:p>
        </w:tc>
      </w:tr>
    </w:tbl>
    <w:p w14:paraId="4BB8334C" w14:textId="77777777" w:rsidR="00CF4592" w:rsidRDefault="00000000">
      <w:pPr>
        <w:pStyle w:val="Ttulo1"/>
      </w:pPr>
      <w:r>
        <w:t>1. Alcance de esta entrega</w:t>
      </w:r>
    </w:p>
    <w:p w14:paraId="7494CE43" w14:textId="72215BF2" w:rsidR="00CF4592" w:rsidRDefault="00000000">
      <w:pPr>
        <w:spacing w:after="160"/>
      </w:pPr>
      <w:r>
        <w:t xml:space="preserve">Esta entrega corresponde a un trabajo individual. Según la consigna del TP2, el mínimo exigido para una entrega individual es portada + </w:t>
      </w:r>
      <w:r w:rsidR="00F275B3">
        <w:t xml:space="preserve">N </w:t>
      </w:r>
      <w:r>
        <w:t>sección interna a elección. De las tres secciones internas diseñadas en el TP1 (Catálogo, Producto y Contacto), se maquet</w:t>
      </w:r>
      <w:r w:rsidR="009E79EE">
        <w:t>o</w:t>
      </w:r>
      <w:r>
        <w:t xml:space="preserve"> </w:t>
      </w:r>
      <w:r w:rsidR="009E79EE">
        <w:t>las tres</w:t>
      </w:r>
      <w:r>
        <w:t xml:space="preserve">, ya que concentra varios de los requisitos técnicos del TP (formulario con validación, </w:t>
      </w:r>
      <w:proofErr w:type="spellStart"/>
      <w:r>
        <w:t>layout</w:t>
      </w:r>
      <w:proofErr w:type="spellEnd"/>
      <w:r>
        <w:t xml:space="preserve"> de tres columnas, componentes de Bootstrap) en una sola página y permite mostrar un flujo de conversión completo (el usuario puede llegar desde cualquier CTA de la portada y efectivamente contactar al negocio).</w:t>
      </w:r>
    </w:p>
    <w:p w14:paraId="0BB9D083" w14:textId="77777777" w:rsidR="00CF4592" w:rsidRDefault="00000000">
      <w:pPr>
        <w:pStyle w:val="Ttulo1"/>
      </w:pPr>
      <w:r>
        <w:t>2. Cambios respecto del TP1</w:t>
      </w:r>
    </w:p>
    <w:p w14:paraId="7280E1EA" w14:textId="77777777" w:rsidR="00CF4592" w:rsidRDefault="00000000">
      <w:pPr>
        <w:spacing w:after="160"/>
      </w:pPr>
      <w:r>
        <w:t xml:space="preserve">Se realizaron los siguientes ajustes respecto de lo definido en el TP1. No fue necesario corregir </w:t>
      </w:r>
      <w:proofErr w:type="spellStart"/>
      <w:r>
        <w:t>wireframes</w:t>
      </w:r>
      <w:proofErr w:type="spellEnd"/>
      <w:r>
        <w:t xml:space="preserve"> ni mockups, por lo que no se incluye carpeta /tp1 en esta entrega.</w:t>
      </w:r>
    </w:p>
    <w:p w14:paraId="5567D447" w14:textId="77777777" w:rsidR="00CF4592" w:rsidRDefault="00000000">
      <w:pPr>
        <w:pStyle w:val="Prrafodelista"/>
        <w:numPr>
          <w:ilvl w:val="0"/>
          <w:numId w:val="2"/>
        </w:numPr>
        <w:spacing w:after="80"/>
      </w:pPr>
      <w:r>
        <w:t xml:space="preserve">Navegación acotada al alcance real: el menú (desktop y </w:t>
      </w:r>
      <w:proofErr w:type="spellStart"/>
      <w:r>
        <w:t>mobile</w:t>
      </w:r>
      <w:proofErr w:type="spellEnd"/>
      <w:r>
        <w:t>) y el pie de página muestran únicamente Inicio y Contacto. Catálogo, Alquiler y Nosotros, diseñados conceptualmente en el TP1, quedan para una próxima iteración del sitio.</w:t>
      </w:r>
    </w:p>
    <w:p w14:paraId="0B4794D1" w14:textId="77777777" w:rsidR="00CF4592" w:rsidRDefault="00000000">
      <w:pPr>
        <w:pStyle w:val="Prrafodelista"/>
        <w:numPr>
          <w:ilvl w:val="0"/>
          <w:numId w:val="2"/>
        </w:numPr>
        <w:spacing w:after="80"/>
      </w:pPr>
      <w:r>
        <w:t>Los CTA “Comprar”, “Reserva ahora”, “Reservar mi traje” y las tarjetas de producto de la portada redirigen a contacto.html en lugar de a un catálogo o ficha de producto inexistentes en esta entrega. Esto evita enlaces rotos y mantiene el sitio publicado 100% navegable, tal como exige la consigna.</w:t>
      </w:r>
    </w:p>
    <w:p w14:paraId="5424D46A" w14:textId="77777777" w:rsidR="00CF4592" w:rsidRDefault="00000000">
      <w:pPr>
        <w:pStyle w:val="Prrafodelista"/>
        <w:numPr>
          <w:ilvl w:val="0"/>
          <w:numId w:val="2"/>
        </w:numPr>
        <w:spacing w:after="80"/>
      </w:pPr>
      <w:r>
        <w:t xml:space="preserve">En Contacto, se simplificó el orden de bloques en </w:t>
      </w:r>
      <w:proofErr w:type="spellStart"/>
      <w:r>
        <w:t>mobile</w:t>
      </w:r>
      <w:proofErr w:type="spellEnd"/>
      <w:r>
        <w:t xml:space="preserve"> definido originalmente en el </w:t>
      </w:r>
      <w:proofErr w:type="spellStart"/>
      <w:r>
        <w:t>wireframe</w:t>
      </w:r>
      <w:proofErr w:type="spellEnd"/>
      <w:r>
        <w:t xml:space="preserve"> (filtros → foto → información → formulario → mapa) a un orden equivalente pero más simple de mantener en un único bloque de HTML (filtros → foto + mapa → información + formulario), evitando duplicar marcado por </w:t>
      </w:r>
      <w:proofErr w:type="spellStart"/>
      <w:r>
        <w:t>breakpoint</w:t>
      </w:r>
      <w:proofErr w:type="spellEnd"/>
      <w:r>
        <w:t>.</w:t>
      </w:r>
    </w:p>
    <w:p w14:paraId="23F5D315" w14:textId="77777777" w:rsidR="00CF4592" w:rsidRDefault="00000000">
      <w:pPr>
        <w:pStyle w:val="Prrafodelista"/>
        <w:numPr>
          <w:ilvl w:val="0"/>
          <w:numId w:val="2"/>
        </w:numPr>
        <w:spacing w:after="80"/>
      </w:pPr>
      <w:r>
        <w:t xml:space="preserve">Se ajustó la luminosidad de dos colores de la paleta del TP1 por motivos de accesibilidad (mismo matiz, distinto brillo): el gris azulado secundario se oscureció para que el texto sobre fondo blanco cumpla el contraste mínimo WCAG AA, y se sumó una variante más clara del rojo de marca exclusivamente para texto destacado sobre el fondo </w:t>
      </w:r>
      <w:proofErr w:type="spellStart"/>
      <w:r>
        <w:t>navy</w:t>
      </w:r>
      <w:proofErr w:type="spellEnd"/>
      <w:r>
        <w:t>. El detalle de las verificaciones de contraste está en el informe SEO.</w:t>
      </w:r>
    </w:p>
    <w:p w14:paraId="28AF87AD" w14:textId="77777777" w:rsidR="00CF4592" w:rsidRDefault="00000000">
      <w:pPr>
        <w:pStyle w:val="Ttulo1"/>
      </w:pPr>
      <w:r>
        <w:t>3. Estructura de archivos</w:t>
      </w:r>
    </w:p>
    <w:p w14:paraId="70F4B06A" w14:textId="77777777" w:rsidR="00CF4592" w:rsidRDefault="00000000">
      <w:pPr>
        <w:spacing w:after="160"/>
      </w:pPr>
      <w:r>
        <w:t>El proyecto sigue la estructura solicitada en la consigna:</w:t>
      </w:r>
    </w:p>
    <w:p w14:paraId="7620D807" w14:textId="77777777" w:rsidR="00CF4592" w:rsidRDefault="00000000">
      <w:pPr>
        <w:spacing w:after="160"/>
      </w:pPr>
      <w:r>
        <w:rPr>
          <w:rFonts w:ascii="Consolas" w:eastAsia="Consolas" w:hAnsi="Consolas" w:cs="Consolas"/>
          <w:sz w:val="20"/>
          <w:szCs w:val="20"/>
        </w:rPr>
        <w:t>DSW-2026-TP2-Ortega-Nicolas/</w:t>
      </w:r>
    </w:p>
    <w:p w14:paraId="650C78C1" w14:textId="77777777" w:rsidR="00CF4592" w:rsidRDefault="00000000">
      <w:pPr>
        <w:spacing w:after="160"/>
      </w:pPr>
      <w:r>
        <w:rPr>
          <w:rFonts w:ascii="Consolas" w:eastAsia="Consolas" w:hAnsi="Consolas" w:cs="Consolas"/>
          <w:sz w:val="20"/>
          <w:szCs w:val="20"/>
        </w:rPr>
        <w:t xml:space="preserve">├── index.html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portada)</w:t>
      </w:r>
    </w:p>
    <w:p w14:paraId="2A8179D4" w14:textId="77777777" w:rsidR="00CF4592" w:rsidRDefault="00000000">
      <w:pPr>
        <w:spacing w:after="160"/>
      </w:pPr>
      <w:r>
        <w:rPr>
          <w:rFonts w:ascii="Consolas" w:eastAsia="Consolas" w:hAnsi="Consolas" w:cs="Consolas"/>
          <w:sz w:val="20"/>
          <w:szCs w:val="20"/>
        </w:rPr>
        <w:t xml:space="preserve">├── contacto.html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sección interna)</w:t>
      </w:r>
    </w:p>
    <w:p w14:paraId="442B7B34" w14:textId="77777777" w:rsidR="00CF4592" w:rsidRDefault="00000000">
      <w:pPr>
        <w:spacing w:after="160"/>
      </w:pPr>
      <w:r>
        <w:rPr>
          <w:rFonts w:ascii="Consolas" w:eastAsia="Consolas" w:hAnsi="Consolas" w:cs="Consolas"/>
          <w:sz w:val="20"/>
          <w:szCs w:val="20"/>
        </w:rPr>
        <w:t xml:space="preserve">├── </w:t>
      </w:r>
      <w:proofErr w:type="spellStart"/>
      <w:r>
        <w:rPr>
          <w:rFonts w:ascii="Consolas" w:eastAsia="Consolas" w:hAnsi="Consolas" w:cs="Consolas"/>
          <w:sz w:val="20"/>
          <w:szCs w:val="20"/>
        </w:rPr>
        <w:t>css</w:t>
      </w:r>
      <w:proofErr w:type="spellEnd"/>
      <w:r>
        <w:rPr>
          <w:rFonts w:ascii="Consolas" w:eastAsia="Consolas" w:hAnsi="Consolas" w:cs="Consolas"/>
          <w:sz w:val="20"/>
          <w:szCs w:val="20"/>
        </w:rPr>
        <w:t xml:space="preserve">/styles.css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CSS compilado y comprimido)</w:t>
      </w:r>
    </w:p>
    <w:p w14:paraId="532254C7" w14:textId="77777777" w:rsidR="00CF4592" w:rsidRDefault="00000000">
      <w:pPr>
        <w:spacing w:after="160"/>
      </w:pPr>
      <w:r>
        <w:rPr>
          <w:rFonts w:ascii="Consolas" w:eastAsia="Consolas" w:hAnsi="Consolas" w:cs="Consolas"/>
          <w:sz w:val="20"/>
          <w:szCs w:val="20"/>
        </w:rPr>
        <w:t xml:space="preserve">├── </w:t>
      </w:r>
      <w:proofErr w:type="spellStart"/>
      <w:r>
        <w:rPr>
          <w:rFonts w:ascii="Consolas" w:eastAsia="Consolas" w:hAnsi="Consolas" w:cs="Consolas"/>
          <w:sz w:val="20"/>
          <w:szCs w:val="20"/>
        </w:rPr>
        <w:t>scss</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_</w:t>
      </w:r>
      <w:proofErr w:type="spellStart"/>
      <w:proofErr w:type="gramStart"/>
      <w:r>
        <w:rPr>
          <w:rFonts w:ascii="Consolas" w:eastAsia="Consolas" w:hAnsi="Consolas" w:cs="Consolas"/>
          <w:sz w:val="20"/>
          <w:szCs w:val="20"/>
        </w:rPr>
        <w:t>variables.scss</w:t>
      </w:r>
      <w:proofErr w:type="spellEnd"/>
      <w:proofErr w:type="gramEnd"/>
      <w:r>
        <w:rPr>
          <w:rFonts w:ascii="Consolas" w:eastAsia="Consolas" w:hAnsi="Consolas" w:cs="Consolas"/>
          <w:sz w:val="20"/>
          <w:szCs w:val="20"/>
        </w:rPr>
        <w:t>, _</w:t>
      </w:r>
      <w:proofErr w:type="spellStart"/>
      <w:proofErr w:type="gramStart"/>
      <w:r>
        <w:rPr>
          <w:rFonts w:ascii="Consolas" w:eastAsia="Consolas" w:hAnsi="Consolas" w:cs="Consolas"/>
          <w:sz w:val="20"/>
          <w:szCs w:val="20"/>
        </w:rPr>
        <w:t>custom.scss</w:t>
      </w:r>
      <w:proofErr w:type="spellEnd"/>
      <w:proofErr w:type="gramEnd"/>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styles.scss</w:t>
      </w:r>
      <w:proofErr w:type="spellEnd"/>
      <w:proofErr w:type="gramEnd"/>
      <w:r>
        <w:rPr>
          <w:rFonts w:ascii="Consolas" w:eastAsia="Consolas" w:hAnsi="Consolas" w:cs="Consolas"/>
          <w:sz w:val="20"/>
          <w:szCs w:val="20"/>
        </w:rPr>
        <w:t>)</w:t>
      </w:r>
    </w:p>
    <w:p w14:paraId="671B3CCB" w14:textId="77777777" w:rsidR="00CF4592" w:rsidRDefault="00000000">
      <w:pPr>
        <w:spacing w:after="160"/>
      </w:pPr>
      <w:r>
        <w:rPr>
          <w:rFonts w:ascii="Consolas" w:eastAsia="Consolas" w:hAnsi="Consolas" w:cs="Consolas"/>
          <w:sz w:val="20"/>
          <w:szCs w:val="20"/>
        </w:rPr>
        <w:t xml:space="preserve">├── </w:t>
      </w:r>
      <w:proofErr w:type="spellStart"/>
      <w:r>
        <w:rPr>
          <w:rFonts w:ascii="Consolas" w:eastAsia="Consolas" w:hAnsi="Consolas" w:cs="Consolas"/>
          <w:sz w:val="20"/>
          <w:szCs w:val="20"/>
        </w:rPr>
        <w:t>img</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 xml:space="preserve">   (</w:t>
      </w:r>
      <w:proofErr w:type="spellStart"/>
      <w:proofErr w:type="gramEnd"/>
      <w:r>
        <w:rPr>
          <w:rFonts w:ascii="Consolas" w:eastAsia="Consolas" w:hAnsi="Consolas" w:cs="Consolas"/>
          <w:sz w:val="20"/>
          <w:szCs w:val="20"/>
        </w:rPr>
        <w:t>favicon</w:t>
      </w:r>
      <w:proofErr w:type="spellEnd"/>
      <w:r>
        <w:rPr>
          <w:rFonts w:ascii="Consolas" w:eastAsia="Consolas" w:hAnsi="Consolas" w:cs="Consolas"/>
          <w:sz w:val="20"/>
          <w:szCs w:val="20"/>
        </w:rPr>
        <w:t xml:space="preserve"> e imágenes SVG propias)</w:t>
      </w:r>
    </w:p>
    <w:p w14:paraId="1AF8242B" w14:textId="77777777" w:rsidR="00CF4592" w:rsidRDefault="00000000">
      <w:pPr>
        <w:spacing w:after="160"/>
      </w:pPr>
      <w:r>
        <w:rPr>
          <w:rFonts w:ascii="Consolas" w:eastAsia="Consolas" w:hAnsi="Consolas" w:cs="Consolas"/>
          <w:sz w:val="20"/>
          <w:szCs w:val="20"/>
        </w:rPr>
        <w:lastRenderedPageBreak/>
        <w:t xml:space="preserve">├── </w:t>
      </w:r>
      <w:proofErr w:type="spellStart"/>
      <w:r>
        <w:rPr>
          <w:rFonts w:ascii="Consolas" w:eastAsia="Consolas" w:hAnsi="Consolas" w:cs="Consolas"/>
          <w:sz w:val="20"/>
          <w:szCs w:val="20"/>
        </w:rPr>
        <w:t>js</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bootstrap.bundle.min.js + main.js propio)</w:t>
      </w:r>
    </w:p>
    <w:p w14:paraId="3C905917" w14:textId="77777777" w:rsidR="00CF4592" w:rsidRDefault="00000000">
      <w:pPr>
        <w:spacing w:after="160"/>
      </w:pPr>
      <w:r>
        <w:rPr>
          <w:rFonts w:ascii="Consolas" w:eastAsia="Consolas" w:hAnsi="Consolas" w:cs="Consolas"/>
          <w:sz w:val="20"/>
          <w:szCs w:val="20"/>
        </w:rPr>
        <w:t xml:space="preserve">└── </w:t>
      </w:r>
      <w:proofErr w:type="spellStart"/>
      <w:r>
        <w:rPr>
          <w:rFonts w:ascii="Consolas" w:eastAsia="Consolas" w:hAnsi="Consolas" w:cs="Consolas"/>
          <w:sz w:val="20"/>
          <w:szCs w:val="20"/>
        </w:rPr>
        <w:t>doc</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este informe + el informe SEO)</w:t>
      </w:r>
    </w:p>
    <w:p w14:paraId="08B6AE89" w14:textId="77777777" w:rsidR="00CF4592" w:rsidRDefault="00000000">
      <w:pPr>
        <w:pStyle w:val="Ttulo1"/>
      </w:pPr>
      <w:r>
        <w:t>4. Componentes JS de Bootstrap utilizados</w:t>
      </w:r>
    </w:p>
    <w:p w14:paraId="635275D0" w14:textId="77777777" w:rsidR="00CF4592" w:rsidRDefault="00000000">
      <w:pPr>
        <w:spacing w:after="160"/>
      </w:pPr>
      <w:r>
        <w:t>Se utilizaron 5 componentes JS de Bootstrap (se exigían como mínimo 4), elegidos en cada caso para resolver un patrón concreto del mockup del TP1, no de forma decorativa.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00"/>
        <w:gridCol w:w="2700"/>
        <w:gridCol w:w="2838"/>
      </w:tblGrid>
      <w:tr w:rsidR="00CF4592" w14:paraId="7095D567" w14:textId="77777777">
        <w:tblPrEx>
          <w:tblCellMar>
            <w:top w:w="0" w:type="dxa"/>
            <w:bottom w:w="0" w:type="dxa"/>
          </w:tblCellMar>
        </w:tblPrEx>
        <w:tc>
          <w:tcPr>
            <w:tcW w:w="1700"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6D7EA7AB" w14:textId="77777777" w:rsidR="00CF4592" w:rsidRDefault="00000000">
            <w:r>
              <w:rPr>
                <w:b/>
                <w:bCs/>
                <w:color w:val="FFFFFF"/>
                <w:sz w:val="19"/>
                <w:szCs w:val="19"/>
              </w:rPr>
              <w:t>Componente</w:t>
            </w:r>
          </w:p>
        </w:tc>
        <w:tc>
          <w:tcPr>
            <w:tcW w:w="2400"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2EF335AC" w14:textId="77777777" w:rsidR="00CF4592" w:rsidRDefault="00000000">
            <w:r>
              <w:rPr>
                <w:b/>
                <w:bCs/>
                <w:color w:val="FFFFFF"/>
                <w:sz w:val="19"/>
                <w:szCs w:val="19"/>
              </w:rPr>
              <w:t>Dónde</w:t>
            </w:r>
          </w:p>
        </w:tc>
        <w:tc>
          <w:tcPr>
            <w:tcW w:w="2700"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435EC659" w14:textId="77777777" w:rsidR="00CF4592" w:rsidRDefault="00000000">
            <w:r>
              <w:rPr>
                <w:b/>
                <w:bCs/>
                <w:color w:val="FFFFFF"/>
                <w:sz w:val="19"/>
                <w:szCs w:val="19"/>
              </w:rPr>
              <w:t>Qué hace</w:t>
            </w:r>
          </w:p>
        </w:tc>
        <w:tc>
          <w:tcPr>
            <w:tcW w:w="2838"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25EC2D62" w14:textId="77777777" w:rsidR="00CF4592" w:rsidRDefault="00000000">
            <w:r>
              <w:rPr>
                <w:b/>
                <w:bCs/>
                <w:color w:val="FFFFFF"/>
                <w:sz w:val="19"/>
                <w:szCs w:val="19"/>
              </w:rPr>
              <w:t>Por qué se eligió</w:t>
            </w:r>
          </w:p>
        </w:tc>
      </w:tr>
      <w:tr w:rsidR="00CF4592" w14:paraId="0EB619E7" w14:textId="77777777">
        <w:tblPrEx>
          <w:tblCellMar>
            <w:top w:w="0" w:type="dxa"/>
            <w:bottom w:w="0" w:type="dxa"/>
          </w:tblCellMar>
        </w:tblPrEx>
        <w:tc>
          <w:tcPr>
            <w:tcW w:w="1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F28B13A" w14:textId="77777777" w:rsidR="00CF4592" w:rsidRDefault="00000000">
            <w:proofErr w:type="spellStart"/>
            <w:r>
              <w:rPr>
                <w:sz w:val="19"/>
                <w:szCs w:val="19"/>
              </w:rPr>
              <w:t>Carousel</w:t>
            </w:r>
            <w:proofErr w:type="spellEnd"/>
          </w:p>
        </w:tc>
        <w:tc>
          <w:tcPr>
            <w:tcW w:w="2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723CBA0" w14:textId="77777777" w:rsidR="00CF4592" w:rsidRDefault="00000000">
            <w:r>
              <w:rPr>
                <w:sz w:val="19"/>
                <w:szCs w:val="19"/>
              </w:rPr>
              <w:t>Portada — sección “</w:t>
            </w:r>
            <w:proofErr w:type="spellStart"/>
            <w:r>
              <w:rPr>
                <w:sz w:val="19"/>
                <w:szCs w:val="19"/>
              </w:rPr>
              <w:t>Encontrá</w:t>
            </w:r>
            <w:proofErr w:type="spellEnd"/>
            <w:r>
              <w:rPr>
                <w:sz w:val="19"/>
                <w:szCs w:val="19"/>
              </w:rPr>
              <w:t xml:space="preserve"> tu mejor estilo”</w:t>
            </w:r>
          </w:p>
        </w:tc>
        <w:tc>
          <w:tcPr>
            <w:tcW w:w="2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3476C86" w14:textId="77777777" w:rsidR="00CF4592" w:rsidRDefault="00000000">
            <w:r>
              <w:rPr>
                <w:sz w:val="19"/>
                <w:szCs w:val="19"/>
              </w:rPr>
              <w:t>Permite recorrer 3 grupos de imágenes por categoría (Nueva temporada / Trajes / Esmoquin)</w:t>
            </w:r>
          </w:p>
        </w:tc>
        <w:tc>
          <w:tcPr>
            <w:tcW w:w="2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61B41BE" w14:textId="77777777" w:rsidR="00CF4592" w:rsidRDefault="00000000">
            <w:r>
              <w:rPr>
                <w:sz w:val="19"/>
                <w:szCs w:val="19"/>
              </w:rPr>
              <w:t xml:space="preserve">El mockup del TP1 mostraba flechas de navegación en ese bloque; es el patrón exacto que resuelve el </w:t>
            </w:r>
            <w:proofErr w:type="spellStart"/>
            <w:r>
              <w:rPr>
                <w:sz w:val="19"/>
                <w:szCs w:val="19"/>
              </w:rPr>
              <w:t>Carousel</w:t>
            </w:r>
            <w:proofErr w:type="spellEnd"/>
            <w:r>
              <w:rPr>
                <w:sz w:val="19"/>
                <w:szCs w:val="19"/>
              </w:rPr>
              <w:t xml:space="preserve"> de Bootstrap</w:t>
            </w:r>
          </w:p>
        </w:tc>
      </w:tr>
      <w:tr w:rsidR="00CF4592" w14:paraId="41CCC2E6" w14:textId="77777777">
        <w:tblPrEx>
          <w:tblCellMar>
            <w:top w:w="0" w:type="dxa"/>
            <w:bottom w:w="0" w:type="dxa"/>
          </w:tblCellMar>
        </w:tblPrEx>
        <w:tc>
          <w:tcPr>
            <w:tcW w:w="1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B0C5A67" w14:textId="77777777" w:rsidR="00CF4592" w:rsidRDefault="00000000">
            <w:proofErr w:type="spellStart"/>
            <w:r>
              <w:rPr>
                <w:sz w:val="19"/>
                <w:szCs w:val="19"/>
              </w:rPr>
              <w:t>Offcanvas</w:t>
            </w:r>
            <w:proofErr w:type="spellEnd"/>
          </w:p>
        </w:tc>
        <w:tc>
          <w:tcPr>
            <w:tcW w:w="2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23F5170F" w14:textId="77777777" w:rsidR="00CF4592" w:rsidRDefault="00000000">
            <w:r>
              <w:rPr>
                <w:sz w:val="19"/>
                <w:szCs w:val="19"/>
              </w:rPr>
              <w:t xml:space="preserve">Header — menú </w:t>
            </w:r>
            <w:proofErr w:type="spellStart"/>
            <w:r>
              <w:rPr>
                <w:sz w:val="19"/>
                <w:szCs w:val="19"/>
              </w:rPr>
              <w:t>mobile</w:t>
            </w:r>
            <w:proofErr w:type="spellEnd"/>
            <w:r>
              <w:rPr>
                <w:sz w:val="19"/>
                <w:szCs w:val="19"/>
              </w:rPr>
              <w:t xml:space="preserve"> (ambas páginas)</w:t>
            </w:r>
          </w:p>
        </w:tc>
        <w:tc>
          <w:tcPr>
            <w:tcW w:w="2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C8254D2" w14:textId="77777777" w:rsidR="00CF4592" w:rsidRDefault="00000000">
            <w:r>
              <w:rPr>
                <w:sz w:val="19"/>
                <w:szCs w:val="19"/>
              </w:rPr>
              <w:t>Reemplaza el menú horizontal por un panel deslizante en pantallas &lt; 992px</w:t>
            </w:r>
          </w:p>
        </w:tc>
        <w:tc>
          <w:tcPr>
            <w:tcW w:w="2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EFCC2DE" w14:textId="77777777" w:rsidR="00CF4592" w:rsidRDefault="00000000">
            <w:r>
              <w:rPr>
                <w:sz w:val="19"/>
                <w:szCs w:val="19"/>
              </w:rPr>
              <w:t xml:space="preserve">El </w:t>
            </w:r>
            <w:proofErr w:type="spellStart"/>
            <w:r>
              <w:rPr>
                <w:sz w:val="19"/>
                <w:szCs w:val="19"/>
              </w:rPr>
              <w:t>wireframe</w:t>
            </w:r>
            <w:proofErr w:type="spellEnd"/>
            <w:r>
              <w:rPr>
                <w:sz w:val="19"/>
                <w:szCs w:val="19"/>
              </w:rPr>
              <w:t xml:space="preserve"> </w:t>
            </w:r>
            <w:proofErr w:type="spellStart"/>
            <w:r>
              <w:rPr>
                <w:sz w:val="19"/>
                <w:szCs w:val="19"/>
              </w:rPr>
              <w:t>mobile</w:t>
            </w:r>
            <w:proofErr w:type="spellEnd"/>
            <w:r>
              <w:rPr>
                <w:sz w:val="19"/>
                <w:szCs w:val="19"/>
              </w:rPr>
              <w:t xml:space="preserve"> del TP1 define un ícono de hamburguesa; </w:t>
            </w:r>
            <w:proofErr w:type="spellStart"/>
            <w:r>
              <w:rPr>
                <w:sz w:val="19"/>
                <w:szCs w:val="19"/>
              </w:rPr>
              <w:t>Offcanvas</w:t>
            </w:r>
            <w:proofErr w:type="spellEnd"/>
            <w:r>
              <w:rPr>
                <w:sz w:val="19"/>
                <w:szCs w:val="19"/>
              </w:rPr>
              <w:t xml:space="preserve"> es la solución nativa y accesible de Bootstrap 5 (atrapa el foco, cierra con Escape) sin programarlo a mano</w:t>
            </w:r>
          </w:p>
        </w:tc>
      </w:tr>
      <w:tr w:rsidR="00CF4592" w14:paraId="026FB125" w14:textId="77777777">
        <w:tblPrEx>
          <w:tblCellMar>
            <w:top w:w="0" w:type="dxa"/>
            <w:bottom w:w="0" w:type="dxa"/>
          </w:tblCellMar>
        </w:tblPrEx>
        <w:tc>
          <w:tcPr>
            <w:tcW w:w="1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75DBBF5" w14:textId="77777777" w:rsidR="00CF4592" w:rsidRDefault="00000000">
            <w:proofErr w:type="spellStart"/>
            <w:r>
              <w:rPr>
                <w:sz w:val="19"/>
                <w:szCs w:val="19"/>
              </w:rPr>
              <w:t>Accordion</w:t>
            </w:r>
            <w:proofErr w:type="spellEnd"/>
          </w:p>
        </w:tc>
        <w:tc>
          <w:tcPr>
            <w:tcW w:w="2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2008E02" w14:textId="77777777" w:rsidR="00CF4592" w:rsidRDefault="00000000">
            <w:r>
              <w:rPr>
                <w:sz w:val="19"/>
                <w:szCs w:val="19"/>
              </w:rPr>
              <w:t xml:space="preserve">Contacto — </w:t>
            </w:r>
            <w:proofErr w:type="spellStart"/>
            <w:r>
              <w:rPr>
                <w:sz w:val="19"/>
                <w:szCs w:val="19"/>
              </w:rPr>
              <w:t>sidebar</w:t>
            </w:r>
            <w:proofErr w:type="spellEnd"/>
            <w:r>
              <w:rPr>
                <w:sz w:val="19"/>
                <w:szCs w:val="19"/>
              </w:rPr>
              <w:t>, bloques “Horarios” y “Ubicación”</w:t>
            </w:r>
          </w:p>
        </w:tc>
        <w:tc>
          <w:tcPr>
            <w:tcW w:w="2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A549AB3" w14:textId="77777777" w:rsidR="00CF4592" w:rsidRDefault="00000000">
            <w:r>
              <w:rPr>
                <w:sz w:val="19"/>
                <w:szCs w:val="19"/>
              </w:rPr>
              <w:t>Oculta/muestra el detalle de horarios y zonas de envío</w:t>
            </w:r>
          </w:p>
        </w:tc>
        <w:tc>
          <w:tcPr>
            <w:tcW w:w="2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ABF92CD" w14:textId="77777777" w:rsidR="00CF4592" w:rsidRDefault="00000000">
            <w:r>
              <w:rPr>
                <w:sz w:val="19"/>
                <w:szCs w:val="19"/>
              </w:rPr>
              <w:t xml:space="preserve">Es información secundaria dentro del flujo de contacto; colapsarla por defecto reduce el largo de la página, sobre todo en </w:t>
            </w:r>
            <w:proofErr w:type="spellStart"/>
            <w:r>
              <w:rPr>
                <w:sz w:val="19"/>
                <w:szCs w:val="19"/>
              </w:rPr>
              <w:t>mobile</w:t>
            </w:r>
            <w:proofErr w:type="spellEnd"/>
          </w:p>
        </w:tc>
      </w:tr>
      <w:tr w:rsidR="00CF4592" w14:paraId="01580F7F" w14:textId="77777777">
        <w:tblPrEx>
          <w:tblCellMar>
            <w:top w:w="0" w:type="dxa"/>
            <w:bottom w:w="0" w:type="dxa"/>
          </w:tblCellMar>
        </w:tblPrEx>
        <w:tc>
          <w:tcPr>
            <w:tcW w:w="1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1EB96C9" w14:textId="77777777" w:rsidR="00CF4592" w:rsidRDefault="00000000">
            <w:proofErr w:type="spellStart"/>
            <w:r>
              <w:rPr>
                <w:sz w:val="19"/>
                <w:szCs w:val="19"/>
              </w:rPr>
              <w:t>Toast</w:t>
            </w:r>
            <w:proofErr w:type="spellEnd"/>
          </w:p>
        </w:tc>
        <w:tc>
          <w:tcPr>
            <w:tcW w:w="2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604554C" w14:textId="77777777" w:rsidR="00CF4592" w:rsidRDefault="00000000">
            <w:r>
              <w:rPr>
                <w:sz w:val="19"/>
                <w:szCs w:val="19"/>
              </w:rPr>
              <w:t>Contacto — confirmación de envío del formulario</w:t>
            </w:r>
          </w:p>
        </w:tc>
        <w:tc>
          <w:tcPr>
            <w:tcW w:w="2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F48F889" w14:textId="77777777" w:rsidR="00CF4592" w:rsidRDefault="00000000">
            <w:r>
              <w:rPr>
                <w:sz w:val="19"/>
                <w:szCs w:val="19"/>
              </w:rPr>
              <w:t>Muestra una notificación no bloqueante de “mensaje enviado”</w:t>
            </w:r>
          </w:p>
        </w:tc>
        <w:tc>
          <w:tcPr>
            <w:tcW w:w="2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D7374E3" w14:textId="77777777" w:rsidR="00CF4592" w:rsidRDefault="00000000">
            <w:r>
              <w:rPr>
                <w:sz w:val="19"/>
                <w:szCs w:val="19"/>
              </w:rPr>
              <w:t xml:space="preserve">Al no haber </w:t>
            </w:r>
            <w:proofErr w:type="spellStart"/>
            <w:r>
              <w:rPr>
                <w:sz w:val="19"/>
                <w:szCs w:val="19"/>
              </w:rPr>
              <w:t>backend</w:t>
            </w:r>
            <w:proofErr w:type="spellEnd"/>
            <w:r>
              <w:rPr>
                <w:sz w:val="19"/>
                <w:szCs w:val="19"/>
              </w:rPr>
              <w:t xml:space="preserve"> real en este TP, el </w:t>
            </w:r>
            <w:proofErr w:type="spellStart"/>
            <w:r>
              <w:rPr>
                <w:sz w:val="19"/>
                <w:szCs w:val="19"/>
              </w:rPr>
              <w:t>Toast</w:t>
            </w:r>
            <w:proofErr w:type="spellEnd"/>
            <w:r>
              <w:rPr>
                <w:sz w:val="19"/>
                <w:szCs w:val="19"/>
              </w:rPr>
              <w:t xml:space="preserve"> comunica el resultado del envío simulado sin interrumpir al usuario con un </w:t>
            </w:r>
            <w:proofErr w:type="spellStart"/>
            <w:proofErr w:type="gramStart"/>
            <w:r>
              <w:rPr>
                <w:sz w:val="19"/>
                <w:szCs w:val="19"/>
              </w:rPr>
              <w:t>alert</w:t>
            </w:r>
            <w:proofErr w:type="spellEnd"/>
            <w:r>
              <w:rPr>
                <w:sz w:val="19"/>
                <w:szCs w:val="19"/>
              </w:rPr>
              <w:t>(</w:t>
            </w:r>
            <w:proofErr w:type="gramEnd"/>
            <w:r>
              <w:rPr>
                <w:sz w:val="19"/>
                <w:szCs w:val="19"/>
              </w:rPr>
              <w:t>)</w:t>
            </w:r>
          </w:p>
        </w:tc>
      </w:tr>
      <w:tr w:rsidR="00CF4592" w14:paraId="08B70425" w14:textId="77777777">
        <w:tblPrEx>
          <w:tblCellMar>
            <w:top w:w="0" w:type="dxa"/>
            <w:bottom w:w="0" w:type="dxa"/>
          </w:tblCellMar>
        </w:tblPrEx>
        <w:tc>
          <w:tcPr>
            <w:tcW w:w="1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2A572553" w14:textId="77777777" w:rsidR="00CF4592" w:rsidRDefault="00000000">
            <w:proofErr w:type="spellStart"/>
            <w:r>
              <w:rPr>
                <w:sz w:val="19"/>
                <w:szCs w:val="19"/>
              </w:rPr>
              <w:t>Tooltip</w:t>
            </w:r>
            <w:proofErr w:type="spellEnd"/>
          </w:p>
        </w:tc>
        <w:tc>
          <w:tcPr>
            <w:tcW w:w="2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C3F9EBE" w14:textId="77777777" w:rsidR="00CF4592" w:rsidRDefault="00000000">
            <w:r>
              <w:rPr>
                <w:sz w:val="19"/>
                <w:szCs w:val="19"/>
              </w:rPr>
              <w:t>Header — ícono de carrito (ambas páginas)</w:t>
            </w:r>
          </w:p>
        </w:tc>
        <w:tc>
          <w:tcPr>
            <w:tcW w:w="2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FB9D033" w14:textId="77777777" w:rsidR="00CF4592" w:rsidRDefault="00000000">
            <w:r>
              <w:rPr>
                <w:sz w:val="19"/>
                <w:szCs w:val="19"/>
              </w:rPr>
              <w:t xml:space="preserve">Aclara la función del ícono al pasar el </w:t>
            </w:r>
            <w:proofErr w:type="gramStart"/>
            <w:r>
              <w:rPr>
                <w:sz w:val="19"/>
                <w:szCs w:val="19"/>
              </w:rPr>
              <w:t>mouse</w:t>
            </w:r>
            <w:proofErr w:type="gramEnd"/>
            <w:r>
              <w:rPr>
                <w:sz w:val="19"/>
                <w:szCs w:val="19"/>
              </w:rPr>
              <w:t xml:space="preserve"> o enfocar con teclado</w:t>
            </w:r>
          </w:p>
        </w:tc>
        <w:tc>
          <w:tcPr>
            <w:tcW w:w="2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6752FC8" w14:textId="77777777" w:rsidR="00CF4592" w:rsidRDefault="00000000">
            <w:r>
              <w:rPr>
                <w:sz w:val="19"/>
                <w:szCs w:val="19"/>
              </w:rPr>
              <w:t>Bootstrap 5 exige inicialización manual por JS; se aprovechó para reforzar la accesibilidad de un ícono sin texto visible</w:t>
            </w:r>
          </w:p>
        </w:tc>
      </w:tr>
    </w:tbl>
    <w:p w14:paraId="7026B5E9" w14:textId="77777777" w:rsidR="00CF4592" w:rsidRDefault="00000000">
      <w:pPr>
        <w:pStyle w:val="Ttulo1"/>
      </w:pPr>
      <w:r>
        <w:t>5. JavaScript propio y captura de eventos</w:t>
      </w:r>
    </w:p>
    <w:p w14:paraId="181DADDF" w14:textId="77777777" w:rsidR="00CF4592" w:rsidRDefault="00000000">
      <w:pPr>
        <w:spacing w:after="160"/>
      </w:pPr>
      <w:r>
        <w:t>Además de los componentes de Bootstrap, se programó JavaScript propio (</w:t>
      </w:r>
      <w:proofErr w:type="spellStart"/>
      <w:r>
        <w:t>js</w:t>
      </w:r>
      <w:proofErr w:type="spellEnd"/>
      <w:r>
        <w:t>/main.js) para capturar eventos del DOM. La lógica está separada en dos bloques: inicialización/sincronización de componentes de Bootstrap, y comportamiento propio del sitio.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638"/>
      </w:tblGrid>
      <w:tr w:rsidR="00CF4592" w14:paraId="39E1413A"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45A41229" w14:textId="77777777" w:rsidR="00CF4592" w:rsidRDefault="00000000">
            <w:r>
              <w:rPr>
                <w:b/>
                <w:bCs/>
                <w:color w:val="FFFFFF"/>
                <w:sz w:val="19"/>
                <w:szCs w:val="19"/>
              </w:rPr>
              <w:t>Evento</w:t>
            </w:r>
          </w:p>
        </w:tc>
        <w:tc>
          <w:tcPr>
            <w:tcW w:w="2800"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42599A0B" w14:textId="77777777" w:rsidR="00CF4592" w:rsidRDefault="00000000">
            <w:r>
              <w:rPr>
                <w:b/>
                <w:bCs/>
                <w:color w:val="FFFFFF"/>
                <w:sz w:val="19"/>
                <w:szCs w:val="19"/>
              </w:rPr>
              <w:t>Elemento</w:t>
            </w:r>
          </w:p>
        </w:tc>
        <w:tc>
          <w:tcPr>
            <w:tcW w:w="4638"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02776819" w14:textId="77777777" w:rsidR="00CF4592" w:rsidRDefault="00000000">
            <w:r>
              <w:rPr>
                <w:b/>
                <w:bCs/>
                <w:color w:val="FFFFFF"/>
                <w:sz w:val="19"/>
                <w:szCs w:val="19"/>
              </w:rPr>
              <w:t>Qué hace</w:t>
            </w:r>
          </w:p>
        </w:tc>
      </w:tr>
      <w:tr w:rsidR="00CF4592" w14:paraId="0D8082B9"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190261E" w14:textId="77777777" w:rsidR="00CF4592" w:rsidRDefault="00000000">
            <w:proofErr w:type="spellStart"/>
            <w:r>
              <w:rPr>
                <w:sz w:val="19"/>
                <w:szCs w:val="19"/>
              </w:rPr>
              <w:t>scroll</w:t>
            </w:r>
            <w:proofErr w:type="spellEnd"/>
            <w:r>
              <w:rPr>
                <w:sz w:val="19"/>
                <w:szCs w:val="19"/>
              </w:rPr>
              <w:t xml:space="preserve"> (</w:t>
            </w:r>
            <w:proofErr w:type="spellStart"/>
            <w:r>
              <w:rPr>
                <w:sz w:val="19"/>
                <w:szCs w:val="19"/>
              </w:rPr>
              <w:t>window</w:t>
            </w:r>
            <w:proofErr w:type="spellEnd"/>
            <w:r>
              <w:rPr>
                <w:sz w:val="19"/>
                <w:szCs w:val="19"/>
              </w:rPr>
              <w:t>)</w:t>
            </w:r>
          </w:p>
        </w:tc>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213016C" w14:textId="77777777" w:rsidR="00CF4592" w:rsidRDefault="00000000">
            <w:proofErr w:type="spellStart"/>
            <w:r>
              <w:rPr>
                <w:sz w:val="19"/>
                <w:szCs w:val="19"/>
              </w:rPr>
              <w:t>Navbar</w:t>
            </w:r>
            <w:proofErr w:type="spellEnd"/>
            <w:r>
              <w:rPr>
                <w:sz w:val="19"/>
                <w:szCs w:val="19"/>
              </w:rPr>
              <w:t xml:space="preserve"> y botón “volver arriba”</w:t>
            </w:r>
          </w:p>
        </w:tc>
        <w:tc>
          <w:tcPr>
            <w:tcW w:w="46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E2A72BD" w14:textId="77777777" w:rsidR="00CF4592" w:rsidRDefault="00000000">
            <w:r>
              <w:rPr>
                <w:sz w:val="19"/>
                <w:szCs w:val="19"/>
              </w:rPr>
              <w:t>Agrega la clase .</w:t>
            </w:r>
            <w:proofErr w:type="spellStart"/>
            <w:r>
              <w:rPr>
                <w:sz w:val="19"/>
                <w:szCs w:val="19"/>
              </w:rPr>
              <w:t>is-scrolled</w:t>
            </w:r>
            <w:proofErr w:type="spellEnd"/>
            <w:r>
              <w:rPr>
                <w:sz w:val="19"/>
                <w:szCs w:val="19"/>
              </w:rPr>
              <w:t xml:space="preserve"> al </w:t>
            </w:r>
            <w:proofErr w:type="spellStart"/>
            <w:r>
              <w:rPr>
                <w:sz w:val="19"/>
                <w:szCs w:val="19"/>
              </w:rPr>
              <w:t>navbar</w:t>
            </w:r>
            <w:proofErr w:type="spellEnd"/>
            <w:r>
              <w:rPr>
                <w:sz w:val="19"/>
                <w:szCs w:val="19"/>
              </w:rPr>
              <w:t xml:space="preserve"> (sombra) y muestra/oculta el botón de volver arriba pasado un umbral de </w:t>
            </w:r>
            <w:proofErr w:type="spellStart"/>
            <w:r>
              <w:rPr>
                <w:sz w:val="19"/>
                <w:szCs w:val="19"/>
              </w:rPr>
              <w:t>scroll</w:t>
            </w:r>
            <w:proofErr w:type="spellEnd"/>
          </w:p>
        </w:tc>
      </w:tr>
      <w:tr w:rsidR="00CF4592" w14:paraId="1CFE93C9"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623A051" w14:textId="77777777" w:rsidR="00CF4592" w:rsidRDefault="00000000">
            <w:r>
              <w:rPr>
                <w:sz w:val="19"/>
                <w:szCs w:val="19"/>
              </w:rPr>
              <w:t xml:space="preserve">input / </w:t>
            </w:r>
            <w:proofErr w:type="spellStart"/>
            <w:r>
              <w:rPr>
                <w:sz w:val="19"/>
                <w:szCs w:val="19"/>
              </w:rPr>
              <w:t>blur</w:t>
            </w:r>
            <w:proofErr w:type="spellEnd"/>
          </w:p>
        </w:tc>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FCA043C" w14:textId="77777777" w:rsidR="00CF4592" w:rsidRDefault="00000000">
            <w:r>
              <w:rPr>
                <w:sz w:val="19"/>
                <w:szCs w:val="19"/>
              </w:rPr>
              <w:t>Campos del formulario de contacto</w:t>
            </w:r>
          </w:p>
        </w:tc>
        <w:tc>
          <w:tcPr>
            <w:tcW w:w="46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4117692" w14:textId="77777777" w:rsidR="00CF4592" w:rsidRDefault="00000000">
            <w:r>
              <w:rPr>
                <w:sz w:val="19"/>
                <w:szCs w:val="19"/>
              </w:rPr>
              <w:t xml:space="preserve">Valida cada campo en vivo (clases </w:t>
            </w:r>
            <w:proofErr w:type="spellStart"/>
            <w:r>
              <w:rPr>
                <w:sz w:val="19"/>
                <w:szCs w:val="19"/>
              </w:rPr>
              <w:t>is-valid-live</w:t>
            </w:r>
            <w:proofErr w:type="spellEnd"/>
            <w:r>
              <w:rPr>
                <w:sz w:val="19"/>
                <w:szCs w:val="19"/>
              </w:rPr>
              <w:t xml:space="preserve"> / </w:t>
            </w:r>
            <w:proofErr w:type="spellStart"/>
            <w:r>
              <w:rPr>
                <w:sz w:val="19"/>
                <w:szCs w:val="19"/>
              </w:rPr>
              <w:t>is-invalid-live</w:t>
            </w:r>
            <w:proofErr w:type="spellEnd"/>
            <w:r>
              <w:rPr>
                <w:sz w:val="19"/>
                <w:szCs w:val="19"/>
              </w:rPr>
              <w:t>) antes de intentar enviar el formulario</w:t>
            </w:r>
          </w:p>
        </w:tc>
      </w:tr>
      <w:tr w:rsidR="00CF4592" w14:paraId="1D9B502C"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D784A34" w14:textId="77777777" w:rsidR="00CF4592" w:rsidRDefault="00000000">
            <w:proofErr w:type="spellStart"/>
            <w:r>
              <w:rPr>
                <w:sz w:val="19"/>
                <w:szCs w:val="19"/>
              </w:rPr>
              <w:t>submit</w:t>
            </w:r>
            <w:proofErr w:type="spellEnd"/>
          </w:p>
        </w:tc>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AC391F8" w14:textId="77777777" w:rsidR="00CF4592" w:rsidRDefault="00000000">
            <w:r>
              <w:rPr>
                <w:sz w:val="19"/>
                <w:szCs w:val="19"/>
              </w:rPr>
              <w:t>Formulario de contacto</w:t>
            </w:r>
          </w:p>
        </w:tc>
        <w:tc>
          <w:tcPr>
            <w:tcW w:w="46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BC3B247" w14:textId="77777777" w:rsidR="00CF4592" w:rsidRDefault="00000000">
            <w:r>
              <w:rPr>
                <w:sz w:val="19"/>
                <w:szCs w:val="19"/>
              </w:rPr>
              <w:t xml:space="preserve">Previene el envío real (no hay </w:t>
            </w:r>
            <w:proofErr w:type="spellStart"/>
            <w:r>
              <w:rPr>
                <w:sz w:val="19"/>
                <w:szCs w:val="19"/>
              </w:rPr>
              <w:t>backend</w:t>
            </w:r>
            <w:proofErr w:type="spellEnd"/>
            <w:r>
              <w:rPr>
                <w:sz w:val="19"/>
                <w:szCs w:val="19"/>
              </w:rPr>
              <w:t xml:space="preserve"> en este TP), valida todos los campos y dispara el </w:t>
            </w:r>
            <w:proofErr w:type="spellStart"/>
            <w:r>
              <w:rPr>
                <w:sz w:val="19"/>
                <w:szCs w:val="19"/>
              </w:rPr>
              <w:t>Toast</w:t>
            </w:r>
            <w:proofErr w:type="spellEnd"/>
            <w:r>
              <w:rPr>
                <w:sz w:val="19"/>
                <w:szCs w:val="19"/>
              </w:rPr>
              <w:t xml:space="preserve"> de confirmación</w:t>
            </w:r>
          </w:p>
        </w:tc>
      </w:tr>
      <w:tr w:rsidR="00CF4592" w14:paraId="3018FA95"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A5F5D8E" w14:textId="77777777" w:rsidR="00CF4592" w:rsidRDefault="00000000">
            <w:proofErr w:type="spellStart"/>
            <w:r>
              <w:rPr>
                <w:sz w:val="19"/>
                <w:szCs w:val="19"/>
              </w:rPr>
              <w:lastRenderedPageBreak/>
              <w:t>change</w:t>
            </w:r>
            <w:proofErr w:type="spellEnd"/>
          </w:p>
        </w:tc>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7950BEA" w14:textId="77777777" w:rsidR="00CF4592" w:rsidRDefault="00000000">
            <w:r>
              <w:rPr>
                <w:sz w:val="19"/>
                <w:szCs w:val="19"/>
              </w:rPr>
              <w:t>Radios “Canales” y “Tipo de consulta”</w:t>
            </w:r>
          </w:p>
        </w:tc>
        <w:tc>
          <w:tcPr>
            <w:tcW w:w="46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BF70F76" w14:textId="77777777" w:rsidR="00CF4592" w:rsidRDefault="00000000">
            <w:r>
              <w:rPr>
                <w:sz w:val="19"/>
                <w:szCs w:val="19"/>
              </w:rPr>
              <w:t>Actualiza un resumen de texto visible (ej. “Vas a contactarnos por WhatsApp sobre: un alquiler”) sin recargar la página</w:t>
            </w:r>
          </w:p>
        </w:tc>
      </w:tr>
      <w:tr w:rsidR="00CF4592" w14:paraId="57B301EE"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952025E" w14:textId="77777777" w:rsidR="00CF4592" w:rsidRDefault="00000000">
            <w:proofErr w:type="spellStart"/>
            <w:proofErr w:type="gramStart"/>
            <w:r>
              <w:rPr>
                <w:sz w:val="19"/>
                <w:szCs w:val="19"/>
              </w:rPr>
              <w:t>shown.bs.offcanvas</w:t>
            </w:r>
            <w:proofErr w:type="spellEnd"/>
            <w:proofErr w:type="gramEnd"/>
            <w:r>
              <w:rPr>
                <w:sz w:val="19"/>
                <w:szCs w:val="19"/>
              </w:rPr>
              <w:t xml:space="preserve"> / </w:t>
            </w:r>
            <w:proofErr w:type="spellStart"/>
            <w:proofErr w:type="gramStart"/>
            <w:r>
              <w:rPr>
                <w:sz w:val="19"/>
                <w:szCs w:val="19"/>
              </w:rPr>
              <w:t>hidden.bs.offcanvas</w:t>
            </w:r>
            <w:proofErr w:type="spellEnd"/>
            <w:proofErr w:type="gramEnd"/>
          </w:p>
        </w:tc>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A319AA0" w14:textId="77777777" w:rsidR="00CF4592" w:rsidRDefault="00000000">
            <w:proofErr w:type="gramStart"/>
            <w:r>
              <w:rPr>
                <w:sz w:val="19"/>
                <w:szCs w:val="19"/>
              </w:rPr>
              <w:t>Botón hamburguesa</w:t>
            </w:r>
            <w:proofErr w:type="gramEnd"/>
          </w:p>
        </w:tc>
        <w:tc>
          <w:tcPr>
            <w:tcW w:w="46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C05DB19" w14:textId="77777777" w:rsidR="00CF4592" w:rsidRDefault="00000000">
            <w:r>
              <w:rPr>
                <w:sz w:val="19"/>
                <w:szCs w:val="19"/>
              </w:rPr>
              <w:t>Sincroniza el ícono y el atributo aria-</w:t>
            </w:r>
            <w:proofErr w:type="spellStart"/>
            <w:r>
              <w:rPr>
                <w:sz w:val="19"/>
                <w:szCs w:val="19"/>
              </w:rPr>
              <w:t>expanded</w:t>
            </w:r>
            <w:proofErr w:type="spellEnd"/>
            <w:r>
              <w:rPr>
                <w:sz w:val="19"/>
                <w:szCs w:val="19"/>
              </w:rPr>
              <w:t xml:space="preserve"> del botón con el estado real del menú </w:t>
            </w:r>
            <w:proofErr w:type="spellStart"/>
            <w:r>
              <w:rPr>
                <w:sz w:val="19"/>
                <w:szCs w:val="19"/>
              </w:rPr>
              <w:t>mobile</w:t>
            </w:r>
            <w:proofErr w:type="spellEnd"/>
            <w:r>
              <w:rPr>
                <w:sz w:val="19"/>
                <w:szCs w:val="19"/>
              </w:rPr>
              <w:t>, ya que Bootstrap no lo hace por sí solo</w:t>
            </w:r>
          </w:p>
        </w:tc>
      </w:tr>
    </w:tbl>
    <w:p w14:paraId="095DFBFA" w14:textId="77777777" w:rsidR="00CF4592" w:rsidRDefault="00000000">
      <w:pPr>
        <w:spacing w:after="160"/>
      </w:pPr>
      <w:r>
        <w:t xml:space="preserve"> </w:t>
      </w:r>
    </w:p>
    <w:p w14:paraId="75986A9A" w14:textId="77777777" w:rsidR="00CF4592" w:rsidRDefault="00000000">
      <w:pPr>
        <w:spacing w:after="160"/>
      </w:pPr>
      <w:r>
        <w:t>Criterio de diseño: cada evento resuelve un problema real de usabilidad del propio sitio (validar antes de enviar, confirmar el envío, orientar la consulta, mantener accesible el menú) en lugar de agregarse únicamente para cumplir el requisito del TP.</w:t>
      </w:r>
    </w:p>
    <w:p w14:paraId="733E8C67" w14:textId="77777777" w:rsidR="00CF4592" w:rsidRDefault="00000000">
      <w:pPr>
        <w:pStyle w:val="Ttulo1"/>
      </w:pPr>
      <w:r>
        <w:t>6. Personalización de Bootstrap mediante Sass</w:t>
      </w:r>
    </w:p>
    <w:p w14:paraId="419D525D" w14:textId="77777777" w:rsidR="00CF4592" w:rsidRDefault="00000000">
      <w:pPr>
        <w:spacing w:after="160"/>
      </w:pPr>
      <w:r>
        <w:t xml:space="preserve">Ubicación: </w:t>
      </w:r>
      <w:proofErr w:type="spellStart"/>
      <w:r>
        <w:t>scss</w:t>
      </w:r>
      <w:proofErr w:type="spellEnd"/>
      <w:r>
        <w:t>/_</w:t>
      </w:r>
      <w:proofErr w:type="spellStart"/>
      <w:r>
        <w:t>variables.scss</w:t>
      </w:r>
      <w:proofErr w:type="spellEnd"/>
      <w:r>
        <w:t xml:space="preserve"> (variables de marca, importadas antes del núcleo de Bootstrap) + </w:t>
      </w:r>
      <w:proofErr w:type="spellStart"/>
      <w:r>
        <w:t>scss</w:t>
      </w:r>
      <w:proofErr w:type="spellEnd"/>
      <w:r>
        <w:t>/_</w:t>
      </w:r>
      <w:proofErr w:type="spellStart"/>
      <w:r>
        <w:t>custom.scss</w:t>
      </w:r>
      <w:proofErr w:type="spellEnd"/>
      <w:r>
        <w:t xml:space="preserve"> (componentes propios del sitio) + </w:t>
      </w:r>
      <w:proofErr w:type="spellStart"/>
      <w:r>
        <w:t>scss</w:t>
      </w:r>
      <w:proofErr w:type="spellEnd"/>
      <w:r>
        <w:t>/</w:t>
      </w:r>
      <w:proofErr w:type="spellStart"/>
      <w:r>
        <w:t>styles.scss</w:t>
      </w:r>
      <w:proofErr w:type="spellEnd"/>
      <w:r>
        <w:t xml:space="preserve"> (punto de entrada que ensambla ambos con los módulos de Bootstrap que el sitio usa).</w:t>
      </w:r>
    </w:p>
    <w:p w14:paraId="4B6D98DE" w14:textId="77777777" w:rsidR="00CF4592" w:rsidRDefault="00000000">
      <w:pPr>
        <w:pStyle w:val="Prrafodelista"/>
        <w:numPr>
          <w:ilvl w:val="0"/>
          <w:numId w:val="2"/>
        </w:numPr>
        <w:spacing w:after="80"/>
      </w:pPr>
      <w:r>
        <w:t>Paleta de color: $</w:t>
      </w:r>
      <w:proofErr w:type="spellStart"/>
      <w:r>
        <w:t>primary</w:t>
      </w:r>
      <w:proofErr w:type="spellEnd"/>
      <w:r>
        <w:t>, $</w:t>
      </w:r>
      <w:proofErr w:type="spellStart"/>
      <w:r>
        <w:t>secondary</w:t>
      </w:r>
      <w:proofErr w:type="spellEnd"/>
      <w:r>
        <w:t>, $</w:t>
      </w:r>
      <w:proofErr w:type="spellStart"/>
      <w:r>
        <w:t>dark</w:t>
      </w:r>
      <w:proofErr w:type="spellEnd"/>
      <w:r>
        <w:t>, $</w:t>
      </w:r>
      <w:proofErr w:type="spellStart"/>
      <w:r>
        <w:t>body-bg</w:t>
      </w:r>
      <w:proofErr w:type="spellEnd"/>
      <w:r>
        <w:t xml:space="preserve"> y variables propias ($ts-navy-950, $ts-red-700, etc.) mapeadas a la paleta de marca definida en el TP1 (</w:t>
      </w:r>
      <w:proofErr w:type="spellStart"/>
      <w:r>
        <w:t>navy</w:t>
      </w:r>
      <w:proofErr w:type="spellEnd"/>
      <w:r>
        <w:t xml:space="preserve"> #0d1b2e de fondo, rojo #8a1f1f de acción).</w:t>
      </w:r>
    </w:p>
    <w:p w14:paraId="468E69BE" w14:textId="77777777" w:rsidR="00CF4592" w:rsidRDefault="00000000">
      <w:pPr>
        <w:pStyle w:val="Prrafodelista"/>
        <w:numPr>
          <w:ilvl w:val="0"/>
          <w:numId w:val="2"/>
        </w:numPr>
        <w:spacing w:after="80"/>
      </w:pPr>
      <w:r>
        <w:t>Tipografía: $</w:t>
      </w:r>
      <w:proofErr w:type="spellStart"/>
      <w:r>
        <w:t>font-family-serif</w:t>
      </w:r>
      <w:proofErr w:type="spellEnd"/>
      <w:r>
        <w:t xml:space="preserve"> (</w:t>
      </w:r>
      <w:proofErr w:type="spellStart"/>
      <w:r>
        <w:t>Cormorant</w:t>
      </w:r>
      <w:proofErr w:type="spellEnd"/>
      <w:r>
        <w:t xml:space="preserve"> Garamond) para $</w:t>
      </w:r>
      <w:proofErr w:type="spellStart"/>
      <w:r>
        <w:t>headings-font-family</w:t>
      </w:r>
      <w:proofErr w:type="spellEnd"/>
      <w:r>
        <w:t>, y $</w:t>
      </w:r>
      <w:proofErr w:type="spellStart"/>
      <w:r>
        <w:t>font-family-sans</w:t>
      </w:r>
      <w:proofErr w:type="spellEnd"/>
      <w:r>
        <w:t xml:space="preserve"> (Montserrat) para $</w:t>
      </w:r>
      <w:proofErr w:type="spellStart"/>
      <w:r>
        <w:t>font</w:t>
      </w:r>
      <w:proofErr w:type="spellEnd"/>
      <w:r>
        <w:t>-</w:t>
      </w:r>
      <w:proofErr w:type="spellStart"/>
      <w:r>
        <w:t>family</w:t>
      </w:r>
      <w:proofErr w:type="spellEnd"/>
      <w:r>
        <w:t xml:space="preserve">-base, reproduciendo el contraste </w:t>
      </w:r>
      <w:proofErr w:type="spellStart"/>
      <w:r>
        <w:t>serif</w:t>
      </w:r>
      <w:proofErr w:type="spellEnd"/>
      <w:r>
        <w:t>/</w:t>
      </w:r>
      <w:proofErr w:type="spellStart"/>
      <w:r>
        <w:t>sans</w:t>
      </w:r>
      <w:proofErr w:type="spellEnd"/>
      <w:r>
        <w:t xml:space="preserve"> del mockup.</w:t>
      </w:r>
    </w:p>
    <w:p w14:paraId="607B89D8" w14:textId="77777777" w:rsidR="00CF4592" w:rsidRDefault="00000000">
      <w:pPr>
        <w:pStyle w:val="Prrafodelista"/>
        <w:numPr>
          <w:ilvl w:val="0"/>
          <w:numId w:val="2"/>
        </w:numPr>
        <w:spacing w:after="80"/>
      </w:pPr>
      <w:r>
        <w:t>Forma: $</w:t>
      </w:r>
      <w:proofErr w:type="spellStart"/>
      <w:r>
        <w:t>border-radius</w:t>
      </w:r>
      <w:proofErr w:type="spellEnd"/>
      <w:r>
        <w:t xml:space="preserve"> y todas sus variantes (botones, inputs, </w:t>
      </w:r>
      <w:proofErr w:type="spellStart"/>
      <w:r>
        <w:t>cards</w:t>
      </w:r>
      <w:proofErr w:type="spellEnd"/>
      <w:r>
        <w:t>) en 0, para la estética recta de sastrería formal definida en el mockup — ningún componente de Bootstrap usa su esquina redondeada por defecto.</w:t>
      </w:r>
    </w:p>
    <w:p w14:paraId="7E640BEA" w14:textId="77777777" w:rsidR="00CF4592" w:rsidRDefault="00000000">
      <w:pPr>
        <w:pStyle w:val="Prrafodelista"/>
        <w:numPr>
          <w:ilvl w:val="0"/>
          <w:numId w:val="2"/>
        </w:numPr>
        <w:spacing w:after="80"/>
      </w:pPr>
      <w:r>
        <w:t>Botones: $</w:t>
      </w:r>
      <w:proofErr w:type="spellStart"/>
      <w:r>
        <w:t>btn</w:t>
      </w:r>
      <w:proofErr w:type="spellEnd"/>
      <w:r>
        <w:t>-</w:t>
      </w:r>
      <w:proofErr w:type="spellStart"/>
      <w:r>
        <w:t>padding</w:t>
      </w:r>
      <w:proofErr w:type="spellEnd"/>
      <w:r>
        <w:t>-y/x y $</w:t>
      </w:r>
      <w:proofErr w:type="spellStart"/>
      <w:r>
        <w:t>btn-font-weight</w:t>
      </w:r>
      <w:proofErr w:type="spellEnd"/>
      <w:r>
        <w:t xml:space="preserve"> ajustados para que el texto en mayúsculas con tracking del mockup tenga el tamaño de </w:t>
      </w:r>
      <w:proofErr w:type="spellStart"/>
      <w:proofErr w:type="gramStart"/>
      <w:r>
        <w:t>click</w:t>
      </w:r>
      <w:proofErr w:type="spellEnd"/>
      <w:proofErr w:type="gramEnd"/>
      <w:r>
        <w:t xml:space="preserve"> correcto.</w:t>
      </w:r>
    </w:p>
    <w:p w14:paraId="5F2A1827" w14:textId="77777777" w:rsidR="00CF4592" w:rsidRDefault="00000000">
      <w:pPr>
        <w:pStyle w:val="Prrafodelista"/>
        <w:numPr>
          <w:ilvl w:val="0"/>
          <w:numId w:val="2"/>
        </w:numPr>
        <w:spacing w:after="80"/>
      </w:pPr>
      <w:r>
        <w:t>Contenedores: $container-</w:t>
      </w:r>
      <w:proofErr w:type="spellStart"/>
      <w:r>
        <w:t>max</w:t>
      </w:r>
      <w:proofErr w:type="spellEnd"/>
      <w:r>
        <w:t>-</w:t>
      </w:r>
      <w:proofErr w:type="spellStart"/>
      <w:r>
        <w:t>widths</w:t>
      </w:r>
      <w:proofErr w:type="spellEnd"/>
      <w:r>
        <w:t xml:space="preserve"> ampliado en </w:t>
      </w:r>
      <w:proofErr w:type="spellStart"/>
      <w:r>
        <w:t>xl</w:t>
      </w:r>
      <w:proofErr w:type="spellEnd"/>
      <w:r>
        <w:t>/</w:t>
      </w:r>
      <w:proofErr w:type="spellStart"/>
      <w:r>
        <w:t>xxl</w:t>
      </w:r>
      <w:proofErr w:type="spellEnd"/>
      <w:r>
        <w:t xml:space="preserve"> para aprovechar mejor el ancho en pantallas grandes, ya que el </w:t>
      </w:r>
      <w:proofErr w:type="spellStart"/>
      <w:r>
        <w:t>layout</w:t>
      </w:r>
      <w:proofErr w:type="spellEnd"/>
      <w:r>
        <w:t xml:space="preserve"> del mockup usa bastante aire horizontal.</w:t>
      </w:r>
    </w:p>
    <w:p w14:paraId="6CED6BA7" w14:textId="77777777" w:rsidR="00CF4592" w:rsidRDefault="00000000">
      <w:pPr>
        <w:spacing w:after="160"/>
      </w:pPr>
      <w:r>
        <w:t xml:space="preserve">Se eligió recompilar Bootstrap en vez de sobrescribir clases con CSS suelto porque las variables de marca se propagan automáticamente a todos los componentes (botones, </w:t>
      </w:r>
      <w:proofErr w:type="spellStart"/>
      <w:r>
        <w:t>badges</w:t>
      </w:r>
      <w:proofErr w:type="spellEnd"/>
      <w:r>
        <w:t xml:space="preserve">, formularios, </w:t>
      </w:r>
      <w:proofErr w:type="spellStart"/>
      <w:r>
        <w:t>navbar</w:t>
      </w:r>
      <w:proofErr w:type="spellEnd"/>
      <w:r>
        <w:t xml:space="preserve">, </w:t>
      </w:r>
      <w:proofErr w:type="spellStart"/>
      <w:r>
        <w:t>breadcrumb</w:t>
      </w:r>
      <w:proofErr w:type="spellEnd"/>
      <w:r>
        <w:t>) sin tener que repetir el ajuste en cada selector, y porque mantiene una única fuente de verdad para la paleta y la tipografía del sitio.</w:t>
      </w:r>
    </w:p>
    <w:p w14:paraId="6B47DD8D" w14:textId="77777777" w:rsidR="00CF4592" w:rsidRDefault="00000000">
      <w:pPr>
        <w:pStyle w:val="Ttulo1"/>
      </w:pPr>
      <w:r>
        <w:t>7. Publicación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CF4592" w14:paraId="16E40A52" w14:textId="77777777">
        <w:tblPrEx>
          <w:tblCellMar>
            <w:top w:w="0" w:type="dxa"/>
            <w:bottom w:w="0" w:type="dxa"/>
          </w:tblCellMar>
        </w:tblPrEx>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F0B5C0A" w14:textId="77777777" w:rsidR="00CF4592" w:rsidRDefault="00000000">
            <w:r>
              <w:rPr>
                <w:b/>
                <w:bCs/>
                <w:sz w:val="19"/>
                <w:szCs w:val="19"/>
              </w:rPr>
              <w:t>URL del proyecto publicado</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1D6C22D" w14:textId="2829FE53" w:rsidR="00CF4592" w:rsidRDefault="00F275B3">
            <w:r w:rsidRPr="00F275B3">
              <w:rPr>
                <w:i/>
                <w:iCs/>
                <w:sz w:val="19"/>
                <w:szCs w:val="19"/>
              </w:rPr>
              <w:t>https://nicolasortega1993.github.io/this-suits/index.html</w:t>
            </w:r>
          </w:p>
        </w:tc>
      </w:tr>
      <w:tr w:rsidR="00CF4592" w14:paraId="5A1A313F" w14:textId="77777777">
        <w:tblPrEx>
          <w:tblCellMar>
            <w:top w:w="0" w:type="dxa"/>
            <w:bottom w:w="0" w:type="dxa"/>
          </w:tblCellMar>
        </w:tblPrEx>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56CBAB0" w14:textId="77777777" w:rsidR="00CF4592" w:rsidRDefault="00000000">
            <w:r>
              <w:rPr>
                <w:b/>
                <w:bCs/>
                <w:sz w:val="19"/>
                <w:szCs w:val="19"/>
              </w:rPr>
              <w:t>Repositorio / hosting elegido</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742D60A" w14:textId="77777777" w:rsidR="00CF4592" w:rsidRDefault="00000000">
            <w:r>
              <w:rPr>
                <w:sz w:val="19"/>
                <w:szCs w:val="19"/>
              </w:rPr>
              <w:t>GitHub + GitHub Pages</w:t>
            </w:r>
          </w:p>
        </w:tc>
      </w:tr>
    </w:tbl>
    <w:p w14:paraId="39E02237" w14:textId="77777777" w:rsidR="00CF4592" w:rsidRDefault="00000000">
      <w:pPr>
        <w:spacing w:after="160"/>
      </w:pPr>
      <w:r>
        <w:t xml:space="preserve"> </w:t>
      </w:r>
    </w:p>
    <w:p w14:paraId="668D7A22" w14:textId="77777777" w:rsidR="00CF4592" w:rsidRDefault="00000000">
      <w:pPr>
        <w:spacing w:after="160"/>
      </w:pPr>
      <w:r>
        <w:t xml:space="preserve">Justificación de la elección: el sitio es 100% estático (HTML/CSS/JS sin </w:t>
      </w:r>
      <w:proofErr w:type="spellStart"/>
      <w:r>
        <w:t>backend</w:t>
      </w:r>
      <w:proofErr w:type="spellEnd"/>
      <w:r>
        <w:t>), por lo que no requiere un servidor con lenguaje de back-</w:t>
      </w:r>
      <w:proofErr w:type="spellStart"/>
      <w:r>
        <w:t>end</w:t>
      </w:r>
      <w:proofErr w:type="spellEnd"/>
      <w:r>
        <w:t xml:space="preserve"> ni base de datos. GitHub Pages permite publicar directamente desde un repositorio Git con HTTPS automático y sin costo, y el control de versiones con Git ya se usa en la cursada, por lo que no agrega una herramienta nueva al flujo de trabajo. Es también la opción que más documentación y soporte tiene para proyectos académicos de este tipo.</w:t>
      </w:r>
    </w:p>
    <w:sectPr w:rsidR="00CF4592">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15B05" w14:textId="77777777" w:rsidR="005C4ABC" w:rsidRDefault="005C4ABC">
      <w:r>
        <w:separator/>
      </w:r>
    </w:p>
  </w:endnote>
  <w:endnote w:type="continuationSeparator" w:id="0">
    <w:p w14:paraId="32295258" w14:textId="77777777" w:rsidR="005C4ABC" w:rsidRDefault="005C4A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9EA5C" w14:textId="77777777" w:rsidR="00CF4592" w:rsidRDefault="00000000">
    <w:pPr>
      <w:jc w:val="right"/>
    </w:pPr>
    <w:r>
      <w:rPr>
        <w:color w:val="7C8AA3"/>
        <w:sz w:val="16"/>
        <w:szCs w:val="16"/>
      </w:rPr>
      <w:t xml:space="preserve">Página </w:t>
    </w:r>
    <w:r>
      <w:rPr>
        <w:color w:val="7C8AA3"/>
        <w:sz w:val="16"/>
        <w:szCs w:val="16"/>
      </w:rPr>
      <w:fldChar w:fldCharType="begin"/>
    </w:r>
    <w:r>
      <w:rPr>
        <w:color w:val="7C8AA3"/>
        <w:sz w:val="16"/>
        <w:szCs w:val="16"/>
      </w:rPr>
      <w:instrText>PAGE</w:instrText>
    </w:r>
    <w:r>
      <w:rPr>
        <w:color w:val="7C8AA3"/>
        <w:sz w:val="16"/>
        <w:szCs w:val="16"/>
      </w:rPr>
      <w:fldChar w:fldCharType="separate"/>
    </w:r>
    <w:r w:rsidR="00F275B3">
      <w:rPr>
        <w:noProof/>
        <w:color w:val="7C8AA3"/>
        <w:sz w:val="16"/>
        <w:szCs w:val="16"/>
      </w:rPr>
      <w:t>1</w:t>
    </w:r>
    <w:r>
      <w:rPr>
        <w:color w:val="7C8AA3"/>
        <w:sz w:val="16"/>
        <w:szCs w:val="16"/>
      </w:rPr>
      <w:fldChar w:fldCharType="end"/>
    </w:r>
    <w:r>
      <w:rPr>
        <w:color w:val="7C8AA3"/>
        <w:sz w:val="16"/>
        <w:szCs w:val="16"/>
      </w:rPr>
      <w:t xml:space="preserve"> de </w:t>
    </w:r>
    <w:r>
      <w:rPr>
        <w:color w:val="7C8AA3"/>
        <w:sz w:val="16"/>
        <w:szCs w:val="16"/>
      </w:rPr>
      <w:fldChar w:fldCharType="begin"/>
    </w:r>
    <w:r>
      <w:rPr>
        <w:color w:val="7C8AA3"/>
        <w:sz w:val="16"/>
        <w:szCs w:val="16"/>
      </w:rPr>
      <w:instrText>NUMPAGES</w:instrText>
    </w:r>
    <w:r>
      <w:rPr>
        <w:color w:val="7C8AA3"/>
        <w:sz w:val="16"/>
        <w:szCs w:val="16"/>
      </w:rPr>
      <w:fldChar w:fldCharType="separate"/>
    </w:r>
    <w:r w:rsidR="00F275B3">
      <w:rPr>
        <w:noProof/>
        <w:color w:val="7C8AA3"/>
        <w:sz w:val="16"/>
        <w:szCs w:val="16"/>
      </w:rPr>
      <w:t>2</w:t>
    </w:r>
    <w:r>
      <w:rPr>
        <w:color w:val="7C8AA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45055" w14:textId="77777777" w:rsidR="005C4ABC" w:rsidRDefault="005C4ABC">
      <w:r>
        <w:separator/>
      </w:r>
    </w:p>
  </w:footnote>
  <w:footnote w:type="continuationSeparator" w:id="0">
    <w:p w14:paraId="50607682" w14:textId="77777777" w:rsidR="005C4ABC" w:rsidRDefault="005C4A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24113B"/>
    <w:multiLevelType w:val="hybridMultilevel"/>
    <w:tmpl w:val="8B745650"/>
    <w:lvl w:ilvl="0" w:tplc="C16AB026">
      <w:start w:val="1"/>
      <w:numFmt w:val="bullet"/>
      <w:lvlText w:val="●"/>
      <w:lvlJc w:val="left"/>
      <w:pPr>
        <w:ind w:left="720" w:hanging="360"/>
      </w:pPr>
    </w:lvl>
    <w:lvl w:ilvl="1" w:tplc="15D85A9E">
      <w:start w:val="1"/>
      <w:numFmt w:val="bullet"/>
      <w:lvlText w:val="○"/>
      <w:lvlJc w:val="left"/>
      <w:pPr>
        <w:ind w:left="1440" w:hanging="360"/>
      </w:pPr>
    </w:lvl>
    <w:lvl w:ilvl="2" w:tplc="F2983B9E">
      <w:start w:val="1"/>
      <w:numFmt w:val="bullet"/>
      <w:lvlText w:val="■"/>
      <w:lvlJc w:val="left"/>
      <w:pPr>
        <w:ind w:left="2160" w:hanging="360"/>
      </w:pPr>
    </w:lvl>
    <w:lvl w:ilvl="3" w:tplc="82EE69E6">
      <w:start w:val="1"/>
      <w:numFmt w:val="bullet"/>
      <w:lvlText w:val="●"/>
      <w:lvlJc w:val="left"/>
      <w:pPr>
        <w:ind w:left="2880" w:hanging="360"/>
      </w:pPr>
    </w:lvl>
    <w:lvl w:ilvl="4" w:tplc="166801FC">
      <w:start w:val="1"/>
      <w:numFmt w:val="bullet"/>
      <w:lvlText w:val="○"/>
      <w:lvlJc w:val="left"/>
      <w:pPr>
        <w:ind w:left="3600" w:hanging="360"/>
      </w:pPr>
    </w:lvl>
    <w:lvl w:ilvl="5" w:tplc="91ACE602">
      <w:start w:val="1"/>
      <w:numFmt w:val="bullet"/>
      <w:lvlText w:val="■"/>
      <w:lvlJc w:val="left"/>
      <w:pPr>
        <w:ind w:left="4320" w:hanging="360"/>
      </w:pPr>
    </w:lvl>
    <w:lvl w:ilvl="6" w:tplc="79147DF6">
      <w:start w:val="1"/>
      <w:numFmt w:val="bullet"/>
      <w:lvlText w:val="●"/>
      <w:lvlJc w:val="left"/>
      <w:pPr>
        <w:ind w:left="5040" w:hanging="360"/>
      </w:pPr>
    </w:lvl>
    <w:lvl w:ilvl="7" w:tplc="B05C2C90">
      <w:start w:val="1"/>
      <w:numFmt w:val="bullet"/>
      <w:lvlText w:val="●"/>
      <w:lvlJc w:val="left"/>
      <w:pPr>
        <w:ind w:left="5760" w:hanging="360"/>
      </w:pPr>
    </w:lvl>
    <w:lvl w:ilvl="8" w:tplc="DDB8692E">
      <w:start w:val="1"/>
      <w:numFmt w:val="bullet"/>
      <w:lvlText w:val="●"/>
      <w:lvlJc w:val="left"/>
      <w:pPr>
        <w:ind w:left="6480" w:hanging="360"/>
      </w:pPr>
    </w:lvl>
  </w:abstractNum>
  <w:abstractNum w:abstractNumId="1" w15:restartNumberingAfterBreak="0">
    <w:nsid w:val="429352CA"/>
    <w:multiLevelType w:val="hybridMultilevel"/>
    <w:tmpl w:val="C42C6CA6"/>
    <w:lvl w:ilvl="0" w:tplc="9C142E6C">
      <w:start w:val="1"/>
      <w:numFmt w:val="bullet"/>
      <w:lvlText w:val="•"/>
      <w:lvlJc w:val="left"/>
      <w:pPr>
        <w:ind w:left="480" w:hanging="280"/>
      </w:pPr>
    </w:lvl>
    <w:lvl w:ilvl="1" w:tplc="4134CF68">
      <w:numFmt w:val="decimal"/>
      <w:lvlText w:val=""/>
      <w:lvlJc w:val="left"/>
    </w:lvl>
    <w:lvl w:ilvl="2" w:tplc="536A85DE">
      <w:numFmt w:val="decimal"/>
      <w:lvlText w:val=""/>
      <w:lvlJc w:val="left"/>
    </w:lvl>
    <w:lvl w:ilvl="3" w:tplc="19763C3C">
      <w:numFmt w:val="decimal"/>
      <w:lvlText w:val=""/>
      <w:lvlJc w:val="left"/>
    </w:lvl>
    <w:lvl w:ilvl="4" w:tplc="3184DCA6">
      <w:numFmt w:val="decimal"/>
      <w:lvlText w:val=""/>
      <w:lvlJc w:val="left"/>
    </w:lvl>
    <w:lvl w:ilvl="5" w:tplc="5C385526">
      <w:numFmt w:val="decimal"/>
      <w:lvlText w:val=""/>
      <w:lvlJc w:val="left"/>
    </w:lvl>
    <w:lvl w:ilvl="6" w:tplc="2CAC2DA6">
      <w:numFmt w:val="decimal"/>
      <w:lvlText w:val=""/>
      <w:lvlJc w:val="left"/>
    </w:lvl>
    <w:lvl w:ilvl="7" w:tplc="C28E6D3A">
      <w:numFmt w:val="decimal"/>
      <w:lvlText w:val=""/>
      <w:lvlJc w:val="left"/>
    </w:lvl>
    <w:lvl w:ilvl="8" w:tplc="AC527082">
      <w:numFmt w:val="decimal"/>
      <w:lvlText w:val=""/>
      <w:lvlJc w:val="left"/>
    </w:lvl>
  </w:abstractNum>
  <w:num w:numId="1" w16cid:durableId="2046831984">
    <w:abstractNumId w:val="0"/>
    <w:lvlOverride w:ilvl="0">
      <w:startOverride w:val="1"/>
    </w:lvlOverride>
  </w:num>
  <w:num w:numId="2" w16cid:durableId="18705592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592"/>
    <w:rsid w:val="005C4ABC"/>
    <w:rsid w:val="009E79EE"/>
    <w:rsid w:val="00CF4592"/>
    <w:rsid w:val="00F275B3"/>
    <w:rsid w:val="00FC0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EE6F6"/>
  <w15:docId w15:val="{26E2F96C-667E-4C39-8592-B58E5BC7D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6263C"/>
      <w:sz w:val="30"/>
      <w:szCs w:val="30"/>
    </w:rPr>
  </w:style>
  <w:style w:type="paragraph" w:styleId="Ttulo2">
    <w:name w:val="heading 2"/>
    <w:uiPriority w:val="9"/>
    <w:semiHidden/>
    <w:unhideWhenUsed/>
    <w:qFormat/>
    <w:pPr>
      <w:spacing w:before="260" w:after="160"/>
      <w:outlineLvl w:val="1"/>
    </w:pPr>
    <w:rPr>
      <w:b/>
      <w:bCs/>
      <w:color w:val="16263C"/>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F275B3"/>
    <w:pPr>
      <w:tabs>
        <w:tab w:val="center" w:pos="4252"/>
        <w:tab w:val="right" w:pos="8504"/>
      </w:tabs>
    </w:pPr>
  </w:style>
  <w:style w:type="character" w:customStyle="1" w:styleId="EncabezadoCar">
    <w:name w:val="Encabezado Car"/>
    <w:basedOn w:val="Fuentedeprrafopredeter"/>
    <w:link w:val="Encabezado"/>
    <w:uiPriority w:val="99"/>
    <w:rsid w:val="00F275B3"/>
  </w:style>
  <w:style w:type="paragraph" w:styleId="Piedepgina">
    <w:name w:val="footer"/>
    <w:basedOn w:val="Normal"/>
    <w:link w:val="PiedepginaCar"/>
    <w:uiPriority w:val="99"/>
    <w:unhideWhenUsed/>
    <w:rsid w:val="00F275B3"/>
    <w:pPr>
      <w:tabs>
        <w:tab w:val="center" w:pos="4252"/>
        <w:tab w:val="right" w:pos="8504"/>
      </w:tabs>
    </w:pPr>
  </w:style>
  <w:style w:type="character" w:customStyle="1" w:styleId="PiedepginaCar">
    <w:name w:val="Pie de página Car"/>
    <w:basedOn w:val="Fuentedeprrafopredeter"/>
    <w:link w:val="Piedepgina"/>
    <w:uiPriority w:val="99"/>
    <w:rsid w:val="00F275B3"/>
  </w:style>
  <w:style w:type="character" w:styleId="Mencinsinresolver">
    <w:name w:val="Unresolved Mention"/>
    <w:basedOn w:val="Fuentedeprrafopredeter"/>
    <w:uiPriority w:val="99"/>
    <w:semiHidden/>
    <w:unhideWhenUsed/>
    <w:rsid w:val="00F275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1224</Words>
  <Characters>6738</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Nicolas German Ortega</cp:lastModifiedBy>
  <cp:revision>2</cp:revision>
  <dcterms:created xsi:type="dcterms:W3CDTF">2026-06-26T23:15:00Z</dcterms:created>
  <dcterms:modified xsi:type="dcterms:W3CDTF">2026-06-27T03:41:00Z</dcterms:modified>
</cp:coreProperties>
</file>