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6"/>
          <w:szCs w:val="36"/>
        </w:rPr>
        <w:t xml:space="preserve">Informe Técnico SEO</w:t>
      </w:r>
    </w:p>
    <w:p>
      <w:pPr>
        <w:spacing w:after="360"/>
        <w:jc w:val="center"/>
      </w:pPr>
      <w:r>
        <w:rPr>
          <w:color w:val="5A6472"/>
          <w:sz w:val="22"/>
          <w:szCs w:val="22"/>
        </w:rPr>
        <w:t xml:space="preserve">This Suits · Trabajo Práctico 2 · Desarrollo de Sitios Web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9C0CC" w:sz="2"/>
              <w:left w:val="single" w:color="B9C0CC" w:sz="2"/>
              <w:bottom w:val="single" w:color="B9C0CC" w:sz="2"/>
              <w:right w:val="single" w:color="B9C0CC" w:sz="2"/>
            </w:tcBorders>
            <w:tcMar>
              <w:top w:type="dxa" w:w="100"/>
              <w:left w:type="dxa" w:w="120"/>
              <w:bottom w:type="dxa" w:w="100"/>
              <w:right w:type="dxa" w:w="120"/>
            </w:tcMar>
          </w:tcPr>
          <w:p>
            <w:r>
              <w:rPr>
                <w:b/>
                <w:bCs/>
                <w:sz w:val="19"/>
                <w:szCs w:val="19"/>
              </w:rPr>
              <w:t xml:space="preserve">Integrante</w:t>
            </w:r>
          </w:p>
        </w:tc>
        <w:tc>
          <w:tcPr>
            <w:tcW w:type="dxa" w:w="6838"/>
            <w:tcBorders>
              <w:top w:val="single" w:color="B9C0CC" w:sz="2"/>
              <w:left w:val="single" w:color="B9C0CC" w:sz="2"/>
              <w:bottom w:val="single" w:color="B9C0CC" w:sz="2"/>
              <w:right w:val="single" w:color="B9C0CC" w:sz="2"/>
            </w:tcBorders>
            <w:tcMar>
              <w:top w:type="dxa" w:w="100"/>
              <w:left w:type="dxa" w:w="120"/>
              <w:bottom w:type="dxa" w:w="100"/>
              <w:right w:type="dxa" w:w="120"/>
            </w:tcMar>
          </w:tcPr>
          <w:p>
            <w:r>
              <w:rPr>
                <w:sz w:val="19"/>
                <w:szCs w:val="19"/>
              </w:rPr>
              <w:t xml:space="preserve">Nicolás Ortega</w:t>
            </w:r>
          </w:p>
        </w:tc>
      </w:tr>
      <w:tr>
        <w:tc>
          <w:tcPr>
            <w:tcW w:type="dxa" w:w="2800"/>
            <w:tcBorders>
              <w:top w:val="single" w:color="B9C0CC" w:sz="2"/>
              <w:left w:val="single" w:color="B9C0CC" w:sz="2"/>
              <w:bottom w:val="single" w:color="B9C0CC" w:sz="2"/>
              <w:right w:val="single" w:color="B9C0CC" w:sz="2"/>
            </w:tcBorders>
            <w:tcMar>
              <w:top w:type="dxa" w:w="100"/>
              <w:left w:type="dxa" w:w="120"/>
              <w:bottom w:type="dxa" w:w="100"/>
              <w:right w:type="dxa" w:w="120"/>
            </w:tcMar>
          </w:tcPr>
          <w:p>
            <w:r>
              <w:rPr>
                <w:b/>
                <w:bCs/>
                <w:sz w:val="19"/>
                <w:szCs w:val="19"/>
              </w:rPr>
              <w:t xml:space="preserve">Páginas auditadas</w:t>
            </w:r>
          </w:p>
        </w:tc>
        <w:tc>
          <w:tcPr>
            <w:tcW w:type="dxa" w:w="6838"/>
            <w:tcBorders>
              <w:top w:val="single" w:color="B9C0CC" w:sz="2"/>
              <w:left w:val="single" w:color="B9C0CC" w:sz="2"/>
              <w:bottom w:val="single" w:color="B9C0CC" w:sz="2"/>
              <w:right w:val="single" w:color="B9C0CC" w:sz="2"/>
            </w:tcBorders>
            <w:tcMar>
              <w:top w:type="dxa" w:w="100"/>
              <w:left w:type="dxa" w:w="120"/>
              <w:bottom w:type="dxa" w:w="100"/>
              <w:right w:type="dxa" w:w="120"/>
            </w:tcMar>
          </w:tcPr>
          <w:p>
            <w:r>
              <w:rPr>
                <w:sz w:val="19"/>
                <w:szCs w:val="19"/>
              </w:rPr>
              <w:t xml:space="preserve">index.html (portada) y contacto.html</w:t>
            </w:r>
          </w:p>
        </w:tc>
      </w:tr>
    </w:tbl>
    <w:p>
      <w:pPr>
        <w:pStyle w:val="Heading1"/>
      </w:pPr>
      <w:r>
        <w:t xml:space="preserve">1. Título del sitio y dominio</w:t>
      </w:r>
    </w:p>
    <w:p>
      <w:pPr>
        <w:spacing w:after="160"/>
      </w:pPr>
      <w:r>
        <w:rPr>
          <w:sz w:val="22"/>
          <w:szCs w:val="22"/>
        </w:rPr>
        <w:t xml:space="preserve">No hubo cambios respecto del TP1: el dominio elegido se mantiene como thissuits.com.ar. Se definió un &lt;title&gt; distinto y específico por página:</w:t>
      </w:r>
    </w:p>
    <w:p>
      <w:pPr>
        <w:pStyle w:val="ListParagraph"/>
        <w:numPr>
          <w:ilvl w:val="0"/>
          <w:numId w:val="2"/>
        </w:numPr>
        <w:spacing w:after="80"/>
      </w:pPr>
      <w:r>
        <w:rPr>
          <w:sz w:val="22"/>
          <w:szCs w:val="22"/>
        </w:rPr>
        <w:t xml:space="preserve">Portada: “This Suits | Alquiler y venta de trajes y esmóquines en Argentina”</w:t>
      </w:r>
    </w:p>
    <w:p>
      <w:pPr>
        <w:pStyle w:val="ListParagraph"/>
        <w:numPr>
          <w:ilvl w:val="0"/>
          <w:numId w:val="2"/>
        </w:numPr>
        <w:spacing w:after="80"/>
      </w:pPr>
      <w:r>
        <w:rPr>
          <w:sz w:val="22"/>
          <w:szCs w:val="22"/>
        </w:rPr>
        <w:t xml:space="preserve">Contacto: “Contacto | This Suits — Alquiler y venta de trajes formales”</w:t>
      </w:r>
    </w:p>
    <w:p>
      <w:pPr>
        <w:pStyle w:val="Heading1"/>
      </w:pPr>
      <w:r>
        <w:t xml:space="preserve">2. Palabras clave objetivo</w:t>
      </w:r>
    </w:p>
    <w:p>
      <w:pPr>
        <w:spacing w:after="160"/>
      </w:pPr>
      <w:r>
        <w:rPr>
          <w:sz w:val="22"/>
          <w:szCs w:val="22"/>
        </w:rPr>
        <w:t xml:space="preserve">Generales del sitio: alquiler de trajes, venta de trajes, esmoquin, indumentaria masculina formal, This Suits.</w:t>
      </w:r>
    </w:p>
    <w:p>
      <w:pPr>
        <w:pStyle w:val="ListParagraph"/>
        <w:numPr>
          <w:ilvl w:val="0"/>
          <w:numId w:val="2"/>
        </w:numPr>
        <w:spacing w:after="80"/>
      </w:pPr>
      <w:r>
        <w:rPr>
          <w:sz w:val="22"/>
          <w:szCs w:val="22"/>
        </w:rPr>
        <w:t xml:space="preserve">Portada: alquiler de trajes, venta de trajes, trajes para boda, esmoquin Argentina.</w:t>
      </w:r>
    </w:p>
    <w:p>
      <w:pPr>
        <w:pStyle w:val="ListParagraph"/>
        <w:numPr>
          <w:ilvl w:val="0"/>
          <w:numId w:val="2"/>
        </w:numPr>
        <w:spacing w:after="80"/>
      </w:pPr>
      <w:r>
        <w:rPr>
          <w:sz w:val="22"/>
          <w:szCs w:val="22"/>
        </w:rPr>
        <w:t xml:space="preserve">Contacto: contacto This Suits, alquiler de trajes Santa Fe, consultar disponibilidad de traje, reservar esmoquin.</w:t>
      </w:r>
    </w:p>
    <w:p>
      <w:pPr>
        <w:spacing w:after="160"/>
      </w:pPr>
      <w:r>
        <w:rPr>
          <w:sz w:val="22"/>
          <w:szCs w:val="22"/>
        </w:rPr>
        <w:t xml:space="preserve">Estas palabras clave se reflejan en el &lt;title&gt;, la &lt;meta name="description"&gt;, los encabezados (h1/h2) y el texto visible de cada página, evitando repetición artificial (keyword stuffing).</w:t>
      </w:r>
    </w:p>
    <w:p>
      <w:pPr>
        <w:pStyle w:val="Heading1"/>
      </w:pPr>
      <w:r>
        <w:t xml:space="preserve">3. Estrategias de optimización aplicadas</w:t>
      </w:r>
    </w:p>
    <w:p>
      <w:pPr>
        <w:spacing w:after="160"/>
      </w:pPr>
      <w:r>
        <w:rPr>
          <w:b/>
          <w:bCs/>
          <w:sz w:val="22"/>
          <w:szCs w:val="22"/>
        </w:rPr>
        <w:t xml:space="preserve">Etiquetas semánticas</w:t>
      </w:r>
    </w:p>
    <w:p>
      <w:pPr>
        <w:spacing w:after="160"/>
      </w:pPr>
      <w:r>
        <w:rPr>
          <w:sz w:val="22"/>
          <w:szCs w:val="22"/>
        </w:rPr>
        <w:t xml:space="preserve">Ambas páginas usan &lt;header&gt;, &lt;nav&gt;, &lt;main&gt;, &lt;section&gt;, &lt;article&gt;, &lt;figure&gt;/&lt;figcaption&gt;, &lt;blockquote&gt;, &lt;footer&gt; y listas reales (&lt;ul&gt;/&lt;ol&gt;) en lugar de &lt;div&gt; genéricos. Por ejemplo, los 3 pasos de “Así de simple funciona” están en un &lt;ol&gt; (son una secuencia con orden real), mientras que las tarjetas de producto están en &lt;article&gt; (son unidades de contenido independientes).</w:t>
      </w:r>
    </w:p>
    <w:p>
      <w:pPr>
        <w:spacing w:after="160"/>
      </w:pPr>
      <w:r>
        <w:rPr>
          <w:b/>
          <w:bCs/>
          <w:sz w:val="22"/>
          <w:szCs w:val="22"/>
        </w:rPr>
        <w:t xml:space="preserve">Jerarquía de títulos</w:t>
      </w:r>
    </w:p>
    <w:p>
      <w:pPr>
        <w:spacing w:after="160"/>
      </w:pPr>
      <w:r>
        <w:rPr>
          <w:sz w:val="22"/>
          <w:szCs w:val="22"/>
        </w:rPr>
        <w:t xml:space="preserve">Cada página tiene un único &lt;h1&gt; (el título principal), seguido de &lt;h2&gt; por cada bloque de sección y &lt;h3&gt; para subtítulos de tarjeta o testimonio, sin saltar niveles. Se corrigió un caso real detectado durante el desarrollo: el rótulo del menú mobile (“Menú”) estaba marcado como &lt;h2&gt; y, por estar dentro del &lt;header&gt;, aparecía antes del &lt;h1&gt; en el orden del documento. Se cambió a un elemento sin nivel de heading (manteniendo el mismo tamaño visual) para no romper la jerarquía real que ven los buscadores.</w:t>
      </w:r>
    </w:p>
    <w:p>
      <w:pPr>
        <w:spacing w:after="160"/>
      </w:pPr>
      <w:r>
        <w:rPr>
          <w:b/>
          <w:bCs/>
          <w:sz w:val="22"/>
          <w:szCs w:val="22"/>
        </w:rPr>
        <w:t xml:space="preserve">Atributos alt en imágenes</w:t>
      </w:r>
    </w:p>
    <w:p>
      <w:pPr>
        <w:spacing w:after="160"/>
      </w:pPr>
      <w:r>
        <w:rPr>
          <w:sz w:val="22"/>
          <w:szCs w:val="22"/>
        </w:rPr>
        <w:t xml:space="preserve">Cada &lt;img&gt; tiene un alt descriptivo y específico del contenido (por ejemplo “Traje Royal Windsor, alta sastrería de tres piezas” en lugar de “imagen de producto”). Se verificó programáticamente, recorriendo el HTML final, que ningún &lt;img&gt; del sitio quedara sin atributo alt o con alt vacío (0 casos detectados).</w:t>
      </w:r>
    </w:p>
    <w:p>
      <w:pPr>
        <w:spacing w:after="160"/>
      </w:pPr>
      <w:r>
        <w:rPr>
          <w:b/>
          <w:bCs/>
          <w:sz w:val="22"/>
          <w:szCs w:val="22"/>
        </w:rPr>
        <w:t xml:space="preserve">URLs amigables</w:t>
      </w:r>
    </w:p>
    <w:p>
      <w:pPr>
        <w:spacing w:after="160"/>
      </w:pPr>
      <w:r>
        <w:rPr>
          <w:sz w:val="22"/>
          <w:szCs w:val="22"/>
        </w:rPr>
        <w:t xml:space="preserve">Se usan nombres de archivo descriptivos en español, sin parámetros ni IDs: /index.html y /contacto.html.</w:t>
      </w:r>
    </w:p>
    <w:p>
      <w:pPr>
        <w:spacing w:after="160"/>
      </w:pPr>
      <w:r>
        <w:rPr>
          <w:b/>
          <w:bCs/>
          <w:sz w:val="22"/>
          <w:szCs w:val="22"/>
        </w:rPr>
        <w:t xml:space="preserve">Optimización de metadatos</w:t>
      </w:r>
    </w:p>
    <w:p>
      <w:pPr>
        <w:spacing w:after="160"/>
      </w:pPr>
      <w:r>
        <w:rPr>
          <w:sz w:val="22"/>
          <w:szCs w:val="22"/>
        </w:rPr>
        <w:t xml:space="preserve">&lt;title&gt; único por página, &lt;meta name="description"&gt; específica (140–160 caracteres) orientada a la intención de búsqueda de cada página, &lt;meta name="keywords"&gt;, etiquetas Open Graph (og:title, og:description, og:type, og:url, og:locale) para previsualizaciones en redes sociales, y &lt;link rel="canonical"&gt; para evitar contenido duplicado.</w:t>
      </w:r>
    </w:p>
    <w:p>
      <w:pPr>
        <w:spacing w:after="160"/>
      </w:pPr>
      <w:r>
        <w:rPr>
          <w:b/>
          <w:bCs/>
          <w:sz w:val="22"/>
          <w:szCs w:val="22"/>
        </w:rPr>
        <w:t xml:space="preserve">Enlaces internos</w:t>
      </w:r>
    </w:p>
    <w:p>
      <w:pPr>
        <w:spacing w:after="160"/>
      </w:pPr>
      <w:r>
        <w:rPr>
          <w:sz w:val="22"/>
          <w:szCs w:val="22"/>
        </w:rPr>
        <w:t xml:space="preserve">El navbar, el footer y los distintos CTA de la portada enlazan de forma consistente entre Inicio y Contacto. Se verificó programáticamente que ningún href o src local apunte a un archivo inexistente: 0 enlaces rotos sobre el total de referencias internas del sitio.</w:t>
      </w:r>
    </w:p>
    <w:p>
      <w:pPr>
        <w:spacing w:after="160"/>
      </w:pPr>
      <w:r>
        <w:rPr>
          <w:b/>
          <w:bCs/>
          <w:sz w:val="22"/>
          <w:szCs w:val="22"/>
        </w:rPr>
        <w:t xml:space="preserve">Datos estructurados (adicional, no exigido por la consigna)</w:t>
      </w:r>
    </w:p>
    <w:p>
      <w:pPr>
        <w:spacing w:after="160"/>
      </w:pPr>
      <w:r>
        <w:rPr>
          <w:sz w:val="22"/>
          <w:szCs w:val="22"/>
        </w:rPr>
        <w:t xml:space="preserve">Se agregó JSON-LD de schema.org: ClothingStore en la portada y ContactPage en Contacto, para reforzar ante los buscadores de qué tipo de negocio y página se trata.</w:t>
      </w:r>
    </w:p>
    <w:p>
      <w:pPr>
        <w:spacing w:after="160"/>
      </w:pPr>
      <w:r>
        <w:rPr>
          <w:b/>
          <w:bCs/>
          <w:sz w:val="22"/>
          <w:szCs w:val="22"/>
        </w:rPr>
        <w:t xml:space="preserve">Minimización de código redundante</w:t>
      </w:r>
    </w:p>
    <w:p>
      <w:pPr>
        <w:spacing w:after="160"/>
      </w:pPr>
      <w:r>
        <w:rPr>
          <w:sz w:val="22"/>
          <w:szCs w:val="22"/>
        </w:rPr>
        <w:t xml:space="preserve">El CSS de producción se compila en modo comprimido desde Sass (css/styles.css), y el JavaScript de Bootstrap se usa en su build oficial .min, sin librerías duplicadas. El código fuente legible (no minificado) se conserva aparte en /scss para mantenimiento, tal como pide la consigna.</w:t>
      </w:r>
    </w:p>
    <w:p>
      <w:pPr>
        <w:spacing w:after="160"/>
      </w:pPr>
      <w:r>
        <w:rPr>
          <w:b/>
          <w:bCs/>
          <w:sz w:val="22"/>
          <w:szCs w:val="22"/>
        </w:rPr>
        <w:t xml:space="preserve">Tiempo de carga y organización de recursos</w:t>
      </w:r>
    </w:p>
    <w:p>
      <w:pPr>
        <w:spacing w:after="160"/>
      </w:pPr>
      <w:r>
        <w:rPr>
          <w:sz w:val="22"/>
          <w:szCs w:val="22"/>
        </w:rPr>
        <w:t xml:space="preserve">Una sola hoja de estilos propia y un solo bundle JS de terceros (Bootstrap, sin duplicar Popper por separado). Las imágenes propias son SVG vectoriales (peso mínimo, nítidas en cualquier resolución y densidad de píxeles). Las fuentes de Google Fonts se cargan con preconnect y display:swap para no bloquear el renderizado del texto mientras cargan.</w:t>
      </w:r>
    </w:p>
    <w:p>
      <w:pPr>
        <w:spacing w:after="160"/>
      </w:pPr>
      <w:r>
        <w:rPr>
          <w:b/>
          <w:bCs/>
          <w:sz w:val="22"/>
          <w:szCs w:val="22"/>
        </w:rPr>
        <w:t xml:space="preserve">Accesibilidad ligada a SEO</w:t>
      </w:r>
    </w:p>
    <w:p>
      <w:pPr>
        <w:spacing w:after="160"/>
      </w:pPr>
      <w:r>
        <w:rPr>
          <w:sz w:val="22"/>
          <w:szCs w:val="22"/>
        </w:rPr>
        <w:t xml:space="preserve">Enlace “Saltar al contenido principal” para usuarios de teclado/lector de pantalla, aria-label en íconos sin texto visible (carrito, redes sociales, menú), aria-current="page" en el ítem de navegación activo, aria-live="polite" en el resumen dinámico de contacto y en el Toast de confirmación. Se respeta además prefers-reduced-motion.</w:t>
      </w:r>
    </w:p>
    <w:p>
      <w:pPr>
        <w:pStyle w:val="Heading1"/>
      </w:pPr>
      <w:r>
        <w:t xml:space="preserve">4. Verificación de contraste de color (WCAG 2.1)</w:t>
      </w:r>
    </w:p>
    <w:p>
      <w:pPr>
        <w:spacing w:after="160"/>
      </w:pPr>
      <w:r>
        <w:rPr>
          <w:sz w:val="22"/>
          <w:szCs w:val="22"/>
        </w:rPr>
        <w:t xml:space="preserve">Se calculó manualmente el contraste de cada combinación de color relevante de la paleta, aplicando la fórmula oficial de luminancia relativa del W3C, para asegurar que el diseño visual del TP1 cumpliera el mínimo de accesibilidad antes de cerrar el desarrollo. Se detectaron y corrigieron dos combinaciones que no llegaban al mínimo (ver detalle en el informe técnico web, sección 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00"/>
        <w:gridCol w:w="1800"/>
        <w:gridCol w:w="3438"/>
      </w:tblGrid>
      <w:tr>
        <w:tc>
          <w:tcPr>
            <w:tcW w:type="dxa" w:w="4400"/>
            <w:tcBorders>
              <w:top w:val="single" w:color="B9C0CC" w:sz="2"/>
              <w:left w:val="single" w:color="B9C0CC" w:sz="2"/>
              <w:bottom w:val="single" w:color="B9C0CC" w:sz="2"/>
              <w:right w:val="single" w:color="B9C0CC" w:sz="2"/>
            </w:tcBorders>
            <w:shd w:fill="16263C" w:val="clear"/>
            <w:tcMar>
              <w:top w:type="dxa" w:w="100"/>
              <w:left w:type="dxa" w:w="120"/>
              <w:bottom w:type="dxa" w:w="100"/>
              <w:right w:type="dxa" w:w="120"/>
            </w:tcMar>
          </w:tcPr>
          <w:p>
            <w:r>
              <w:rPr>
                <w:b/>
                <w:bCs/>
                <w:color w:val="FFFFFF"/>
                <w:sz w:val="19"/>
                <w:szCs w:val="19"/>
              </w:rPr>
              <w:t xml:space="preserve">Combinación</w:t>
            </w:r>
          </w:p>
        </w:tc>
        <w:tc>
          <w:tcPr>
            <w:tcW w:type="dxa" w:w="1800"/>
            <w:tcBorders>
              <w:top w:val="single" w:color="B9C0CC" w:sz="2"/>
              <w:left w:val="single" w:color="B9C0CC" w:sz="2"/>
              <w:bottom w:val="single" w:color="B9C0CC" w:sz="2"/>
              <w:right w:val="single" w:color="B9C0CC" w:sz="2"/>
            </w:tcBorders>
            <w:shd w:fill="16263C" w:val="clear"/>
            <w:tcMar>
              <w:top w:type="dxa" w:w="100"/>
              <w:left w:type="dxa" w:w="120"/>
              <w:bottom w:type="dxa" w:w="100"/>
              <w:right w:type="dxa" w:w="120"/>
            </w:tcMar>
          </w:tcPr>
          <w:p>
            <w:r>
              <w:rPr>
                <w:b/>
                <w:bCs/>
                <w:color w:val="FFFFFF"/>
                <w:sz w:val="19"/>
                <w:szCs w:val="19"/>
              </w:rPr>
              <w:t xml:space="preserve">Contraste</w:t>
            </w:r>
          </w:p>
        </w:tc>
        <w:tc>
          <w:tcPr>
            <w:tcW w:type="dxa" w:w="3438"/>
            <w:tcBorders>
              <w:top w:val="single" w:color="B9C0CC" w:sz="2"/>
              <w:left w:val="single" w:color="B9C0CC" w:sz="2"/>
              <w:bottom w:val="single" w:color="B9C0CC" w:sz="2"/>
              <w:right w:val="single" w:color="B9C0CC" w:sz="2"/>
            </w:tcBorders>
            <w:shd w:fill="16263C" w:val="clear"/>
            <w:tcMar>
              <w:top w:type="dxa" w:w="100"/>
              <w:left w:type="dxa" w:w="120"/>
              <w:bottom w:type="dxa" w:w="100"/>
              <w:right w:type="dxa" w:w="120"/>
            </w:tcMar>
          </w:tcPr>
          <w:p>
            <w:r>
              <w:rPr>
                <w:b/>
                <w:bCs/>
                <w:color w:val="FFFFFF"/>
                <w:sz w:val="19"/>
                <w:szCs w:val="19"/>
              </w:rPr>
              <w:t xml:space="preserve">Resultado</w:t>
            </w:r>
          </w:p>
        </w:tc>
      </w:tr>
      <w:tr>
        <w:tc>
          <w:tcPr>
            <w:tcW w:type="dxa" w:w="4400"/>
            <w:tcBorders>
              <w:top w:val="single" w:color="B9C0CC" w:sz="2"/>
              <w:left w:val="single" w:color="B9C0CC" w:sz="2"/>
              <w:bottom w:val="single" w:color="B9C0CC" w:sz="2"/>
              <w:right w:val="single" w:color="B9C0CC" w:sz="2"/>
            </w:tcBorders>
            <w:tcMar>
              <w:top w:type="dxa" w:w="100"/>
              <w:left w:type="dxa" w:w="120"/>
              <w:bottom w:type="dxa" w:w="100"/>
              <w:right w:type="dxa" w:w="120"/>
            </w:tcMar>
          </w:tcPr>
          <w:p>
            <w:r>
              <w:rPr>
                <w:sz w:val="19"/>
                <w:szCs w:val="19"/>
              </w:rPr>
              <w:t xml:space="preserve">Texto blanco sobre fondo navy (secciones oscuras)</w:t>
            </w:r>
          </w:p>
        </w:tc>
        <w:tc>
          <w:tcPr>
            <w:tcW w:type="dxa" w:w="1800"/>
            <w:tcBorders>
              <w:top w:val="single" w:color="B9C0CC" w:sz="2"/>
              <w:left w:val="single" w:color="B9C0CC" w:sz="2"/>
              <w:bottom w:val="single" w:color="B9C0CC" w:sz="2"/>
              <w:right w:val="single" w:color="B9C0CC" w:sz="2"/>
            </w:tcBorders>
            <w:tcMar>
              <w:top w:type="dxa" w:w="100"/>
              <w:left w:type="dxa" w:w="120"/>
              <w:bottom w:type="dxa" w:w="100"/>
              <w:right w:type="dxa" w:w="120"/>
            </w:tcMar>
          </w:tcPr>
          <w:p>
            <w:r>
              <w:rPr>
                <w:sz w:val="19"/>
                <w:szCs w:val="19"/>
              </w:rPr>
              <w:t xml:space="preserve">16,0 : 1</w:t>
            </w:r>
          </w:p>
        </w:tc>
        <w:tc>
          <w:tcPr>
            <w:tcW w:type="dxa" w:w="3438"/>
            <w:tcBorders>
              <w:top w:val="single" w:color="B9C0CC" w:sz="2"/>
              <w:left w:val="single" w:color="B9C0CC" w:sz="2"/>
              <w:bottom w:val="single" w:color="B9C0CC" w:sz="2"/>
              <w:right w:val="single" w:color="B9C0CC" w:sz="2"/>
            </w:tcBorders>
            <w:tcMar>
              <w:top w:type="dxa" w:w="100"/>
              <w:left w:type="dxa" w:w="120"/>
              <w:bottom w:type="dxa" w:w="100"/>
              <w:right w:type="dxa" w:w="120"/>
            </w:tcMar>
          </w:tcPr>
          <w:p>
            <w:r>
              <w:rPr>
                <w:sz w:val="19"/>
                <w:szCs w:val="19"/>
              </w:rPr>
              <w:t xml:space="preserve">Cumple AAA</w:t>
            </w:r>
          </w:p>
        </w:tc>
      </w:tr>
      <w:tr>
        <w:tc>
          <w:tcPr>
            <w:tcW w:type="dxa" w:w="4400"/>
            <w:tcBorders>
              <w:top w:val="single" w:color="B9C0CC" w:sz="2"/>
              <w:left w:val="single" w:color="B9C0CC" w:sz="2"/>
              <w:bottom w:val="single" w:color="B9C0CC" w:sz="2"/>
              <w:right w:val="single" w:color="B9C0CC" w:sz="2"/>
            </w:tcBorders>
            <w:tcMar>
              <w:top w:type="dxa" w:w="100"/>
              <w:left w:type="dxa" w:w="120"/>
              <w:bottom w:type="dxa" w:w="100"/>
              <w:right w:type="dxa" w:w="120"/>
            </w:tcMar>
          </w:tcPr>
          <w:p>
            <w:r>
              <w:rPr>
                <w:sz w:val="19"/>
                <w:szCs w:val="19"/>
              </w:rPr>
              <w:t xml:space="preserve">Texto/ícono rojo de marca sobre blanco (links, precios)</w:t>
            </w:r>
          </w:p>
        </w:tc>
        <w:tc>
          <w:tcPr>
            <w:tcW w:type="dxa" w:w="1800"/>
            <w:tcBorders>
              <w:top w:val="single" w:color="B9C0CC" w:sz="2"/>
              <w:left w:val="single" w:color="B9C0CC" w:sz="2"/>
              <w:bottom w:val="single" w:color="B9C0CC" w:sz="2"/>
              <w:right w:val="single" w:color="B9C0CC" w:sz="2"/>
            </w:tcBorders>
            <w:tcMar>
              <w:top w:type="dxa" w:w="100"/>
              <w:left w:type="dxa" w:w="120"/>
              <w:bottom w:type="dxa" w:w="100"/>
              <w:right w:type="dxa" w:w="120"/>
            </w:tcMar>
          </w:tcPr>
          <w:p>
            <w:r>
              <w:rPr>
                <w:sz w:val="19"/>
                <w:szCs w:val="19"/>
              </w:rPr>
              <w:t xml:space="preserve">9,1 : 1</w:t>
            </w:r>
          </w:p>
        </w:tc>
        <w:tc>
          <w:tcPr>
            <w:tcW w:type="dxa" w:w="3438"/>
            <w:tcBorders>
              <w:top w:val="single" w:color="B9C0CC" w:sz="2"/>
              <w:left w:val="single" w:color="B9C0CC" w:sz="2"/>
              <w:bottom w:val="single" w:color="B9C0CC" w:sz="2"/>
              <w:right w:val="single" w:color="B9C0CC" w:sz="2"/>
            </w:tcBorders>
            <w:tcMar>
              <w:top w:type="dxa" w:w="100"/>
              <w:left w:type="dxa" w:w="120"/>
              <w:bottom w:type="dxa" w:w="100"/>
              <w:right w:type="dxa" w:w="120"/>
            </w:tcMar>
          </w:tcPr>
          <w:p>
            <w:r>
              <w:rPr>
                <w:sz w:val="19"/>
                <w:szCs w:val="19"/>
              </w:rPr>
              <w:t xml:space="preserve">Cumple AAA</w:t>
            </w:r>
          </w:p>
        </w:tc>
      </w:tr>
      <w:tr>
        <w:tc>
          <w:tcPr>
            <w:tcW w:type="dxa" w:w="4400"/>
            <w:tcBorders>
              <w:top w:val="single" w:color="B9C0CC" w:sz="2"/>
              <w:left w:val="single" w:color="B9C0CC" w:sz="2"/>
              <w:bottom w:val="single" w:color="B9C0CC" w:sz="2"/>
              <w:right w:val="single" w:color="B9C0CC" w:sz="2"/>
            </w:tcBorders>
            <w:tcMar>
              <w:top w:type="dxa" w:w="100"/>
              <w:left w:type="dxa" w:w="120"/>
              <w:bottom w:type="dxa" w:w="100"/>
              <w:right w:type="dxa" w:w="120"/>
            </w:tcMar>
          </w:tcPr>
          <w:p>
            <w:r>
              <w:rPr>
                <w:sz w:val="19"/>
                <w:szCs w:val="19"/>
              </w:rPr>
              <w:t xml:space="preserve">Texto blanco sobre rojo de marca (botones, badges)</w:t>
            </w:r>
          </w:p>
        </w:tc>
        <w:tc>
          <w:tcPr>
            <w:tcW w:type="dxa" w:w="1800"/>
            <w:tcBorders>
              <w:top w:val="single" w:color="B9C0CC" w:sz="2"/>
              <w:left w:val="single" w:color="B9C0CC" w:sz="2"/>
              <w:bottom w:val="single" w:color="B9C0CC" w:sz="2"/>
              <w:right w:val="single" w:color="B9C0CC" w:sz="2"/>
            </w:tcBorders>
            <w:tcMar>
              <w:top w:type="dxa" w:w="100"/>
              <w:left w:type="dxa" w:w="120"/>
              <w:bottom w:type="dxa" w:w="100"/>
              <w:right w:type="dxa" w:w="120"/>
            </w:tcMar>
          </w:tcPr>
          <w:p>
            <w:r>
              <w:rPr>
                <w:sz w:val="19"/>
                <w:szCs w:val="19"/>
              </w:rPr>
              <w:t xml:space="preserve">9,1 : 1</w:t>
            </w:r>
          </w:p>
        </w:tc>
        <w:tc>
          <w:tcPr>
            <w:tcW w:type="dxa" w:w="3438"/>
            <w:tcBorders>
              <w:top w:val="single" w:color="B9C0CC" w:sz="2"/>
              <w:left w:val="single" w:color="B9C0CC" w:sz="2"/>
              <w:bottom w:val="single" w:color="B9C0CC" w:sz="2"/>
              <w:right w:val="single" w:color="B9C0CC" w:sz="2"/>
            </w:tcBorders>
            <w:tcMar>
              <w:top w:type="dxa" w:w="100"/>
              <w:left w:type="dxa" w:w="120"/>
              <w:bottom w:type="dxa" w:w="100"/>
              <w:right w:type="dxa" w:w="120"/>
            </w:tcMar>
          </w:tcPr>
          <w:p>
            <w:r>
              <w:rPr>
                <w:sz w:val="19"/>
                <w:szCs w:val="19"/>
              </w:rPr>
              <w:t xml:space="preserve">Cumple AAA</w:t>
            </w:r>
          </w:p>
        </w:tc>
      </w:tr>
      <w:tr>
        <w:tc>
          <w:tcPr>
            <w:tcW w:type="dxa" w:w="4400"/>
            <w:tcBorders>
              <w:top w:val="single" w:color="B9C0CC" w:sz="2"/>
              <w:left w:val="single" w:color="B9C0CC" w:sz="2"/>
              <w:bottom w:val="single" w:color="B9C0CC" w:sz="2"/>
              <w:right w:val="single" w:color="B9C0CC" w:sz="2"/>
            </w:tcBorders>
            <w:tcMar>
              <w:top w:type="dxa" w:w="100"/>
              <w:left w:type="dxa" w:w="120"/>
              <w:bottom w:type="dxa" w:w="100"/>
              <w:right w:type="dxa" w:w="120"/>
            </w:tcMar>
          </w:tcPr>
          <w:p>
            <w:r>
              <w:rPr>
                <w:sz w:val="19"/>
                <w:szCs w:val="19"/>
              </w:rPr>
              <w:t xml:space="preserve">Texto secundario gris azulado sobre blanco</w:t>
            </w:r>
          </w:p>
        </w:tc>
        <w:tc>
          <w:tcPr>
            <w:tcW w:type="dxa" w:w="1800"/>
            <w:tcBorders>
              <w:top w:val="single" w:color="B9C0CC" w:sz="2"/>
              <w:left w:val="single" w:color="B9C0CC" w:sz="2"/>
              <w:bottom w:val="single" w:color="B9C0CC" w:sz="2"/>
              <w:right w:val="single" w:color="B9C0CC" w:sz="2"/>
            </w:tcBorders>
            <w:tcMar>
              <w:top w:type="dxa" w:w="100"/>
              <w:left w:type="dxa" w:w="120"/>
              <w:bottom w:type="dxa" w:w="100"/>
              <w:right w:type="dxa" w:w="120"/>
            </w:tcMar>
          </w:tcPr>
          <w:p>
            <w:r>
              <w:rPr>
                <w:sz w:val="19"/>
                <w:szCs w:val="19"/>
              </w:rPr>
              <w:t xml:space="preserve">7,1 : 1</w:t>
            </w:r>
          </w:p>
        </w:tc>
        <w:tc>
          <w:tcPr>
            <w:tcW w:type="dxa" w:w="3438"/>
            <w:tcBorders>
              <w:top w:val="single" w:color="B9C0CC" w:sz="2"/>
              <w:left w:val="single" w:color="B9C0CC" w:sz="2"/>
              <w:bottom w:val="single" w:color="B9C0CC" w:sz="2"/>
              <w:right w:val="single" w:color="B9C0CC" w:sz="2"/>
            </w:tcBorders>
            <w:tcMar>
              <w:top w:type="dxa" w:w="100"/>
              <w:left w:type="dxa" w:w="120"/>
              <w:bottom w:type="dxa" w:w="100"/>
              <w:right w:type="dxa" w:w="120"/>
            </w:tcMar>
          </w:tcPr>
          <w:p>
            <w:r>
              <w:rPr>
                <w:sz w:val="19"/>
                <w:szCs w:val="19"/>
              </w:rPr>
              <w:t xml:space="preserve">Cumple AAA (ajustado)</w:t>
            </w:r>
          </w:p>
        </w:tc>
      </w:tr>
      <w:tr>
        <w:tc>
          <w:tcPr>
            <w:tcW w:type="dxa" w:w="4400"/>
            <w:tcBorders>
              <w:top w:val="single" w:color="B9C0CC" w:sz="2"/>
              <w:left w:val="single" w:color="B9C0CC" w:sz="2"/>
              <w:bottom w:val="single" w:color="B9C0CC" w:sz="2"/>
              <w:right w:val="single" w:color="B9C0CC" w:sz="2"/>
            </w:tcBorders>
            <w:tcMar>
              <w:top w:type="dxa" w:w="100"/>
              <w:left w:type="dxa" w:w="120"/>
              <w:bottom w:type="dxa" w:w="100"/>
              <w:right w:type="dxa" w:w="120"/>
            </w:tcMar>
          </w:tcPr>
          <w:p>
            <w:r>
              <w:rPr>
                <w:sz w:val="19"/>
                <w:szCs w:val="19"/>
              </w:rPr>
              <w:t xml:space="preserve">Texto “muted” gris claro sobre navy</w:t>
            </w:r>
          </w:p>
        </w:tc>
        <w:tc>
          <w:tcPr>
            <w:tcW w:type="dxa" w:w="1800"/>
            <w:tcBorders>
              <w:top w:val="single" w:color="B9C0CC" w:sz="2"/>
              <w:left w:val="single" w:color="B9C0CC" w:sz="2"/>
              <w:bottom w:val="single" w:color="B9C0CC" w:sz="2"/>
              <w:right w:val="single" w:color="B9C0CC" w:sz="2"/>
            </w:tcBorders>
            <w:tcMar>
              <w:top w:type="dxa" w:w="100"/>
              <w:left w:type="dxa" w:w="120"/>
              <w:bottom w:type="dxa" w:w="100"/>
              <w:right w:type="dxa" w:w="120"/>
            </w:tcMar>
          </w:tcPr>
          <w:p>
            <w:r>
              <w:rPr>
                <w:sz w:val="19"/>
                <w:szCs w:val="19"/>
              </w:rPr>
              <w:t xml:space="preserve">5,0 : 1</w:t>
            </w:r>
          </w:p>
        </w:tc>
        <w:tc>
          <w:tcPr>
            <w:tcW w:type="dxa" w:w="3438"/>
            <w:tcBorders>
              <w:top w:val="single" w:color="B9C0CC" w:sz="2"/>
              <w:left w:val="single" w:color="B9C0CC" w:sz="2"/>
              <w:bottom w:val="single" w:color="B9C0CC" w:sz="2"/>
              <w:right w:val="single" w:color="B9C0CC" w:sz="2"/>
            </w:tcBorders>
            <w:tcMar>
              <w:top w:type="dxa" w:w="100"/>
              <w:left w:type="dxa" w:w="120"/>
              <w:bottom w:type="dxa" w:w="100"/>
              <w:right w:type="dxa" w:w="120"/>
            </w:tcMar>
          </w:tcPr>
          <w:p>
            <w:r>
              <w:rPr>
                <w:sz w:val="19"/>
                <w:szCs w:val="19"/>
              </w:rPr>
              <w:t xml:space="preserve">Cumple AA</w:t>
            </w:r>
          </w:p>
        </w:tc>
      </w:tr>
      <w:tr>
        <w:tc>
          <w:tcPr>
            <w:tcW w:type="dxa" w:w="4400"/>
            <w:tcBorders>
              <w:top w:val="single" w:color="B9C0CC" w:sz="2"/>
              <w:left w:val="single" w:color="B9C0CC" w:sz="2"/>
              <w:bottom w:val="single" w:color="B9C0CC" w:sz="2"/>
              <w:right w:val="single" w:color="B9C0CC" w:sz="2"/>
            </w:tcBorders>
            <w:tcMar>
              <w:top w:type="dxa" w:w="100"/>
              <w:left w:type="dxa" w:w="120"/>
              <w:bottom w:type="dxa" w:w="100"/>
              <w:right w:type="dxa" w:w="120"/>
            </w:tcMar>
          </w:tcPr>
          <w:p>
            <w:r>
              <w:rPr>
                <w:sz w:val="19"/>
                <w:szCs w:val="19"/>
              </w:rPr>
              <w:t xml:space="preserve">Acento rojo claro sobre navy (highlight del CTA)</w:t>
            </w:r>
          </w:p>
        </w:tc>
        <w:tc>
          <w:tcPr>
            <w:tcW w:type="dxa" w:w="1800"/>
            <w:tcBorders>
              <w:top w:val="single" w:color="B9C0CC" w:sz="2"/>
              <w:left w:val="single" w:color="B9C0CC" w:sz="2"/>
              <w:bottom w:val="single" w:color="B9C0CC" w:sz="2"/>
              <w:right w:val="single" w:color="B9C0CC" w:sz="2"/>
            </w:tcBorders>
            <w:tcMar>
              <w:top w:type="dxa" w:w="100"/>
              <w:left w:type="dxa" w:w="120"/>
              <w:bottom w:type="dxa" w:w="100"/>
              <w:right w:type="dxa" w:w="120"/>
            </w:tcMar>
          </w:tcPr>
          <w:p>
            <w:r>
              <w:rPr>
                <w:sz w:val="19"/>
                <w:szCs w:val="19"/>
              </w:rPr>
              <w:t xml:space="preserve">4,8 : 1</w:t>
            </w:r>
          </w:p>
        </w:tc>
        <w:tc>
          <w:tcPr>
            <w:tcW w:type="dxa" w:w="3438"/>
            <w:tcBorders>
              <w:top w:val="single" w:color="B9C0CC" w:sz="2"/>
              <w:left w:val="single" w:color="B9C0CC" w:sz="2"/>
              <w:bottom w:val="single" w:color="B9C0CC" w:sz="2"/>
              <w:right w:val="single" w:color="B9C0CC" w:sz="2"/>
            </w:tcBorders>
            <w:tcMar>
              <w:top w:type="dxa" w:w="100"/>
              <w:left w:type="dxa" w:w="120"/>
              <w:bottom w:type="dxa" w:w="100"/>
              <w:right w:type="dxa" w:w="120"/>
            </w:tcMar>
          </w:tcPr>
          <w:p>
            <w:r>
              <w:rPr>
                <w:sz w:val="19"/>
                <w:szCs w:val="19"/>
              </w:rPr>
              <w:t xml:space="preserve">Cumple AA (ajustado)</w:t>
            </w:r>
          </w:p>
        </w:tc>
      </w:tr>
    </w:tbl>
    <w:p>
      <w:pPr>
        <w:pStyle w:val="Heading1"/>
      </w:pPr>
      <w:r>
        <w:t xml:space="preserve">5. Herramientas utilizadas</w:t>
      </w:r>
    </w:p>
    <w:p>
      <w:pPr>
        <w:pStyle w:val="ListParagraph"/>
        <w:numPr>
          <w:ilvl w:val="0"/>
          <w:numId w:val="2"/>
        </w:numPr>
        <w:spacing w:after="80"/>
      </w:pPr>
      <w:r>
        <w:rPr>
          <w:sz w:val="22"/>
          <w:szCs w:val="22"/>
        </w:rPr>
        <w:t xml:space="preserve">Scripts propios (Python) corridos durante el desarrollo para verificar de forma objetiva: balance de etiquetas HTML, IDs duplicados, atributos alt faltantes o vacíos, enlaces/recursos locales rotos y orden de jerarquía de encabezados (h1→h6).</w:t>
      </w:r>
    </w:p>
    <w:p>
      <w:pPr>
        <w:pStyle w:val="ListParagraph"/>
        <w:numPr>
          <w:ilvl w:val="0"/>
          <w:numId w:val="2"/>
        </w:numPr>
        <w:spacing w:after="80"/>
      </w:pPr>
      <w:r>
        <w:rPr>
          <w:sz w:val="22"/>
          <w:szCs w:val="22"/>
        </w:rPr>
        <w:t xml:space="preserve">Fórmula de contraste WCAG 2.1 (luminancia relativa, W3C) aplicada manualmente a cada combinación de color de la paleta antes de cerrar el desarrollo (tabla de la sección 4).</w:t>
      </w:r>
    </w:p>
    <w:p>
      <w:pPr>
        <w:pStyle w:val="ListParagraph"/>
        <w:numPr>
          <w:ilvl w:val="0"/>
          <w:numId w:val="2"/>
        </w:numPr>
        <w:spacing w:after="80"/>
      </w:pPr>
      <w:r>
        <w:rPr>
          <w:sz w:val="22"/>
          <w:szCs w:val="22"/>
        </w:rPr>
        <w:t xml:space="preserve">Pendiente de correr por el alumno una vez publicado el sitio: Google Lighthouse (Chrome DevTools → pestaña Lighthouse → Analyze page load) y/o WAVE, para obtener una puntuación cuantitativa de Performance / Accessibility / Best Practices / SEO sobre la versión ya publicada y no solo sobre el código fuente.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c>
          <w:tcPr>
            <w:tcW w:type="dxa" w:w="3200"/>
            <w:tcBorders>
              <w:top w:val="single" w:color="B9C0CC" w:sz="2"/>
              <w:left w:val="single" w:color="B9C0CC" w:sz="2"/>
              <w:bottom w:val="single" w:color="B9C0CC" w:sz="2"/>
              <w:right w:val="single" w:color="B9C0CC" w:sz="2"/>
            </w:tcBorders>
            <w:shd w:fill="16263C" w:val="clear"/>
            <w:tcMar>
              <w:top w:type="dxa" w:w="100"/>
              <w:left w:type="dxa" w:w="120"/>
              <w:bottom w:type="dxa" w:w="100"/>
              <w:right w:type="dxa" w:w="120"/>
            </w:tcMar>
          </w:tcPr>
          <w:p>
            <w:r>
              <w:rPr>
                <w:b/>
                <w:bCs/>
                <w:color w:val="FFFFFF"/>
                <w:sz w:val="19"/>
                <w:szCs w:val="19"/>
              </w:rPr>
              <w:t xml:space="preserve">Métrica Lighthouse (a completar)</w:t>
            </w:r>
          </w:p>
        </w:tc>
        <w:tc>
          <w:tcPr>
            <w:tcW w:type="dxa" w:w="6438"/>
            <w:tcBorders>
              <w:top w:val="single" w:color="B9C0CC" w:sz="2"/>
              <w:left w:val="single" w:color="B9C0CC" w:sz="2"/>
              <w:bottom w:val="single" w:color="B9C0CC" w:sz="2"/>
              <w:right w:val="single" w:color="B9C0CC" w:sz="2"/>
            </w:tcBorders>
            <w:shd w:fill="16263C" w:val="clear"/>
            <w:tcMar>
              <w:top w:type="dxa" w:w="100"/>
              <w:left w:type="dxa" w:w="120"/>
              <w:bottom w:type="dxa" w:w="100"/>
              <w:right w:type="dxa" w:w="120"/>
            </w:tcMar>
          </w:tcPr>
          <w:p>
            <w:r>
              <w:rPr>
                <w:b/>
                <w:bCs/>
                <w:color w:val="FFFFFF"/>
                <w:sz w:val="19"/>
                <w:szCs w:val="19"/>
              </w:rPr>
              <w:t xml:space="preserve">Resultado</w:t>
            </w:r>
          </w:p>
        </w:tc>
      </w:tr>
      <w:tr>
        <w:tc>
          <w:tcPr>
            <w:tcW w:type="dxa" w:w="3200"/>
            <w:tcBorders>
              <w:top w:val="single" w:color="B9C0CC" w:sz="2"/>
              <w:left w:val="single" w:color="B9C0CC" w:sz="2"/>
              <w:bottom w:val="single" w:color="B9C0CC" w:sz="2"/>
              <w:right w:val="single" w:color="B9C0CC" w:sz="2"/>
            </w:tcBorders>
            <w:tcMar>
              <w:top w:type="dxa" w:w="100"/>
              <w:left w:type="dxa" w:w="120"/>
              <w:bottom w:type="dxa" w:w="100"/>
              <w:right w:type="dxa" w:w="120"/>
            </w:tcMar>
          </w:tcPr>
          <w:p>
            <w:r>
              <w:rPr>
                <w:sz w:val="19"/>
                <w:szCs w:val="19"/>
              </w:rPr>
              <w:t xml:space="preserve">Performance</w:t>
            </w:r>
          </w:p>
        </w:tc>
        <w:tc>
          <w:tcPr>
            <w:tcW w:type="dxa" w:w="6438"/>
            <w:tcBorders>
              <w:top w:val="single" w:color="B9C0CC" w:sz="2"/>
              <w:left w:val="single" w:color="B9C0CC" w:sz="2"/>
              <w:bottom w:val="single" w:color="B9C0CC" w:sz="2"/>
              <w:right w:val="single" w:color="B9C0CC" w:sz="2"/>
            </w:tcBorders>
            <w:tcMar>
              <w:top w:type="dxa" w:w="100"/>
              <w:left w:type="dxa" w:w="120"/>
              <w:bottom w:type="dxa" w:w="100"/>
              <w:right w:type="dxa" w:w="120"/>
            </w:tcMar>
          </w:tcPr>
          <w:p>
            <w:r>
              <w:rPr>
                <w:sz w:val="19"/>
                <w:szCs w:val="19"/>
              </w:rPr>
              <w:t xml:space="preserve"/>
            </w:r>
          </w:p>
        </w:tc>
      </w:tr>
      <w:tr>
        <w:tc>
          <w:tcPr>
            <w:tcW w:type="dxa" w:w="3200"/>
            <w:tcBorders>
              <w:top w:val="single" w:color="B9C0CC" w:sz="2"/>
              <w:left w:val="single" w:color="B9C0CC" w:sz="2"/>
              <w:bottom w:val="single" w:color="B9C0CC" w:sz="2"/>
              <w:right w:val="single" w:color="B9C0CC" w:sz="2"/>
            </w:tcBorders>
            <w:tcMar>
              <w:top w:type="dxa" w:w="100"/>
              <w:left w:type="dxa" w:w="120"/>
              <w:bottom w:type="dxa" w:w="100"/>
              <w:right w:type="dxa" w:w="120"/>
            </w:tcMar>
          </w:tcPr>
          <w:p>
            <w:r>
              <w:rPr>
                <w:sz w:val="19"/>
                <w:szCs w:val="19"/>
              </w:rPr>
              <w:t xml:space="preserve">Accessibility</w:t>
            </w:r>
          </w:p>
        </w:tc>
        <w:tc>
          <w:tcPr>
            <w:tcW w:type="dxa" w:w="6438"/>
            <w:tcBorders>
              <w:top w:val="single" w:color="B9C0CC" w:sz="2"/>
              <w:left w:val="single" w:color="B9C0CC" w:sz="2"/>
              <w:bottom w:val="single" w:color="B9C0CC" w:sz="2"/>
              <w:right w:val="single" w:color="B9C0CC" w:sz="2"/>
            </w:tcBorders>
            <w:tcMar>
              <w:top w:type="dxa" w:w="100"/>
              <w:left w:type="dxa" w:w="120"/>
              <w:bottom w:type="dxa" w:w="100"/>
              <w:right w:type="dxa" w:w="120"/>
            </w:tcMar>
          </w:tcPr>
          <w:p>
            <w:r>
              <w:rPr>
                <w:sz w:val="19"/>
                <w:szCs w:val="19"/>
              </w:rPr>
              <w:t xml:space="preserve"/>
            </w:r>
          </w:p>
        </w:tc>
      </w:tr>
      <w:tr>
        <w:tc>
          <w:tcPr>
            <w:tcW w:type="dxa" w:w="3200"/>
            <w:tcBorders>
              <w:top w:val="single" w:color="B9C0CC" w:sz="2"/>
              <w:left w:val="single" w:color="B9C0CC" w:sz="2"/>
              <w:bottom w:val="single" w:color="B9C0CC" w:sz="2"/>
              <w:right w:val="single" w:color="B9C0CC" w:sz="2"/>
            </w:tcBorders>
            <w:tcMar>
              <w:top w:type="dxa" w:w="100"/>
              <w:left w:type="dxa" w:w="120"/>
              <w:bottom w:type="dxa" w:w="100"/>
              <w:right w:type="dxa" w:w="120"/>
            </w:tcMar>
          </w:tcPr>
          <w:p>
            <w:r>
              <w:rPr>
                <w:sz w:val="19"/>
                <w:szCs w:val="19"/>
              </w:rPr>
              <w:t xml:space="preserve">Best Practices</w:t>
            </w:r>
          </w:p>
        </w:tc>
        <w:tc>
          <w:tcPr>
            <w:tcW w:type="dxa" w:w="6438"/>
            <w:tcBorders>
              <w:top w:val="single" w:color="B9C0CC" w:sz="2"/>
              <w:left w:val="single" w:color="B9C0CC" w:sz="2"/>
              <w:bottom w:val="single" w:color="B9C0CC" w:sz="2"/>
              <w:right w:val="single" w:color="B9C0CC" w:sz="2"/>
            </w:tcBorders>
            <w:tcMar>
              <w:top w:type="dxa" w:w="100"/>
              <w:left w:type="dxa" w:w="120"/>
              <w:bottom w:type="dxa" w:w="100"/>
              <w:right w:type="dxa" w:w="120"/>
            </w:tcMar>
          </w:tcPr>
          <w:p>
            <w:r>
              <w:rPr>
                <w:sz w:val="19"/>
                <w:szCs w:val="19"/>
              </w:rPr>
              <w:t xml:space="preserve"/>
            </w:r>
          </w:p>
        </w:tc>
      </w:tr>
      <w:tr>
        <w:tc>
          <w:tcPr>
            <w:tcW w:type="dxa" w:w="3200"/>
            <w:tcBorders>
              <w:top w:val="single" w:color="B9C0CC" w:sz="2"/>
              <w:left w:val="single" w:color="B9C0CC" w:sz="2"/>
              <w:bottom w:val="single" w:color="B9C0CC" w:sz="2"/>
              <w:right w:val="single" w:color="B9C0CC" w:sz="2"/>
            </w:tcBorders>
            <w:tcMar>
              <w:top w:type="dxa" w:w="100"/>
              <w:left w:type="dxa" w:w="120"/>
              <w:bottom w:type="dxa" w:w="100"/>
              <w:right w:type="dxa" w:w="120"/>
            </w:tcMar>
          </w:tcPr>
          <w:p>
            <w:r>
              <w:rPr>
                <w:sz w:val="19"/>
                <w:szCs w:val="19"/>
              </w:rPr>
              <w:t xml:space="preserve">SEO</w:t>
            </w:r>
          </w:p>
        </w:tc>
        <w:tc>
          <w:tcPr>
            <w:tcW w:type="dxa" w:w="6438"/>
            <w:tcBorders>
              <w:top w:val="single" w:color="B9C0CC" w:sz="2"/>
              <w:left w:val="single" w:color="B9C0CC" w:sz="2"/>
              <w:bottom w:val="single" w:color="B9C0CC" w:sz="2"/>
              <w:right w:val="single" w:color="B9C0CC" w:sz="2"/>
            </w:tcBorders>
            <w:tcMar>
              <w:top w:type="dxa" w:w="100"/>
              <w:left w:type="dxa" w:w="120"/>
              <w:bottom w:type="dxa" w:w="100"/>
              <w:right w:type="dxa" w:w="120"/>
            </w:tcMar>
          </w:tcPr>
          <w:p>
            <w:r>
              <w:rPr>
                <w:sz w:val="19"/>
                <w:szCs w:val="19"/>
              </w:rPr>
              <w:t xml:space="preserve"/>
            </w:r>
          </w:p>
        </w:tc>
      </w:tr>
    </w:tbl>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7C8AA3"/>
        <w:sz w:val="16"/>
        <w:szCs w:val="16"/>
      </w:rPr>
      <w:t xml:space="preserve">Página </w:t>
    </w:r>
    <w:r>
      <w:rPr>
        <w:color w:val="7C8AA3"/>
        <w:sz w:val="16"/>
        <w:szCs w:val="16"/>
      </w:rPr>
      <w:fldChar w:fldCharType="begin"/>
      <w:instrText xml:space="preserve">PAGE</w:instrText>
      <w:fldChar w:fldCharType="separate"/>
      <w:fldChar w:fldCharType="end"/>
    </w:r>
    <w:r>
      <w:rPr>
        <w:color w:val="7C8AA3"/>
        <w:sz w:val="16"/>
        <w:szCs w:val="16"/>
      </w:rPr>
      <w:t xml:space="preserve"> de </w:t>
    </w:r>
    <w:r>
      <w:rPr>
        <w:color w:val="7C8AA3"/>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7C8AA3"/>
        <w:sz w:val="16"/>
        <w:szCs w:val="16"/>
      </w:rPr>
      <w:t xml:space="preserve">This Suits — Informe Técnico SEO (TP2)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6263C"/>
      <w:sz w:val="30"/>
      <w:szCs w:val="3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2026-06-26T23:16:29.908Z</dcterms:created>
  <dcterms:modified xsi:type="dcterms:W3CDTF">2026-06-26T23:16:29.908Z</dcterms:modified>
</cp:coreProperties>
</file>

<file path=docProps/custom.xml><?xml version="1.0" encoding="utf-8"?>
<Properties xmlns="http://schemas.openxmlformats.org/officeDocument/2006/custom-properties" xmlns:vt="http://schemas.openxmlformats.org/officeDocument/2006/docPropsVTypes"/>
</file>