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6"/>
          <w:szCs w:val="36"/>
        </w:rPr>
        <w:t xml:space="preserve">Informe Técnico — Construcción del Sitio Web</w:t>
      </w:r>
    </w:p>
    <w:p>
      <w:pPr>
        <w:spacing w:after="360"/>
        <w:jc w:val="center"/>
      </w:pPr>
      <w:r>
        <w:rPr>
          <w:color w:val="5A6472"/>
          <w:sz w:val="22"/>
          <w:szCs w:val="22"/>
        </w:rPr>
        <w:t xml:space="preserve">This Suits · Trabajo Práctico 2 · Desarrollo de Sitios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Integrante</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Nicolás Ortega</w:t>
            </w:r>
          </w:p>
        </w:tc>
      </w:tr>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Materia</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Desarrollo de Sitios Web — TUTI, UTN Facultad Regional Santa Fe</w:t>
            </w:r>
          </w:p>
        </w:tc>
      </w:tr>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Proyecto</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This Suits — alquiler y venta de trajes formales</w:t>
            </w:r>
          </w:p>
        </w:tc>
      </w:tr>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Alcance de esta entrega</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Portada + sección interna Contacto (mínimo correspondiente a entrega individual)</w:t>
            </w:r>
          </w:p>
        </w:tc>
      </w:tr>
    </w:tbl>
    <w:p>
      <w:pPr>
        <w:pStyle w:val="Heading1"/>
      </w:pPr>
      <w:r>
        <w:t xml:space="preserve">1. Alcance de esta entrega</w:t>
      </w:r>
    </w:p>
    <w:p>
      <w:pPr>
        <w:spacing w:after="160"/>
      </w:pPr>
      <w:r>
        <w:rPr>
          <w:sz w:val="22"/>
          <w:szCs w:val="22"/>
        </w:rPr>
        <w:t xml:space="preserve">Esta entrega corresponde a un trabajo individual. Según la consigna del TP2, el mínimo exigido para una entrega individual es portada + 1 sección interna a elección. De las tres secciones internas diseñadas en el TP1 (Catálogo, Producto y Contacto), se eligió maquetar Contacto, ya que concentra varios de los requisitos técnicos del TP (formulario con validación, layout de tres columnas, componentes de Bootstrap) en una sola página y permite mostrar un flujo de conversión completo (el usuario puede llegar desde cualquier CTA de la portada y efectivamente contactar al negocio).</w:t>
      </w:r>
    </w:p>
    <w:p>
      <w:pPr>
        <w:pStyle w:val="Heading1"/>
      </w:pPr>
      <w:r>
        <w:t xml:space="preserve">2. Cambios respecto del TP1</w:t>
      </w:r>
    </w:p>
    <w:p>
      <w:pPr>
        <w:spacing w:after="160"/>
      </w:pPr>
      <w:r>
        <w:rPr>
          <w:sz w:val="22"/>
          <w:szCs w:val="22"/>
        </w:rPr>
        <w:t xml:space="preserve">Se realizaron los siguientes ajustes respecto de lo definido en el TP1. No fue necesario corregir wireframes ni mockups, por lo que no se incluye carpeta /tp1 en esta entrega.</w:t>
      </w:r>
    </w:p>
    <w:p>
      <w:pPr>
        <w:pStyle w:val="ListParagraph"/>
        <w:numPr>
          <w:ilvl w:val="0"/>
          <w:numId w:val="2"/>
        </w:numPr>
        <w:spacing w:after="80"/>
      </w:pPr>
      <w:r>
        <w:rPr>
          <w:sz w:val="22"/>
          <w:szCs w:val="22"/>
        </w:rPr>
        <w:t xml:space="preserve">Navegación acotada al alcance real: el menú (desktop y mobile) y el pie de página muestran únicamente Inicio y Contacto. Catálogo, Alquiler y Nosotros, diseñados conceptualmente en el TP1, quedan para una próxima iteración del sitio.</w:t>
      </w:r>
    </w:p>
    <w:p>
      <w:pPr>
        <w:pStyle w:val="ListParagraph"/>
        <w:numPr>
          <w:ilvl w:val="0"/>
          <w:numId w:val="2"/>
        </w:numPr>
        <w:spacing w:after="80"/>
      </w:pPr>
      <w:r>
        <w:rPr>
          <w:sz w:val="22"/>
          <w:szCs w:val="22"/>
        </w:rPr>
        <w:t xml:space="preserve">Los CTA “Comprar”, “Reserva ahora”, “Reservar mi traje” y las tarjetas de producto de la portada redirigen a contacto.html en lugar de a un catálogo o ficha de producto inexistentes en esta entrega. Esto evita enlaces rotos y mantiene el sitio publicado 100% navegable, tal como exige la consigna.</w:t>
      </w:r>
    </w:p>
    <w:p>
      <w:pPr>
        <w:pStyle w:val="ListParagraph"/>
        <w:numPr>
          <w:ilvl w:val="0"/>
          <w:numId w:val="2"/>
        </w:numPr>
        <w:spacing w:after="80"/>
      </w:pPr>
      <w:r>
        <w:rPr>
          <w:sz w:val="22"/>
          <w:szCs w:val="22"/>
        </w:rPr>
        <w:t xml:space="preserve">En Contacto, se simplificó el orden de bloques en mobile definido originalmente en el wireframe (filtros → foto → información → formulario → mapa) a un orden equivalente pero más simple de mantener en un único bloque de HTML (filtros → foto + mapa → información + formulario), evitando duplicar marcado por breakpoint.</w:t>
      </w:r>
    </w:p>
    <w:p>
      <w:pPr>
        <w:pStyle w:val="ListParagraph"/>
        <w:numPr>
          <w:ilvl w:val="0"/>
          <w:numId w:val="2"/>
        </w:numPr>
        <w:spacing w:after="80"/>
      </w:pPr>
      <w:r>
        <w:rPr>
          <w:sz w:val="22"/>
          <w:szCs w:val="22"/>
        </w:rPr>
        <w:t xml:space="preserve">Se ajustó la luminosidad de dos colores de la paleta del TP1 por motivos de accesibilidad (mismo matiz, distinto brillo): el gris azulado secundario se oscureció para que el texto sobre fondo blanco cumpla el contraste mínimo WCAG AA, y se sumó una variante más clara del rojo de marca exclusivamente para texto destacado sobre el fondo navy. El detalle de las verificaciones de contraste está en el informe SEO.</w:t>
      </w:r>
    </w:p>
    <w:p>
      <w:pPr>
        <w:pStyle w:val="Heading1"/>
      </w:pPr>
      <w:r>
        <w:t xml:space="preserve">3. Estructura de archivos</w:t>
      </w:r>
    </w:p>
    <w:p>
      <w:pPr>
        <w:spacing w:after="160"/>
      </w:pPr>
      <w:r>
        <w:rPr>
          <w:sz w:val="22"/>
          <w:szCs w:val="22"/>
        </w:rPr>
        <w:t xml:space="preserve">El proyecto sigue la estructura solicitada en la consigna:</w:t>
      </w:r>
    </w:p>
    <w:p>
      <w:pPr>
        <w:spacing w:after="160"/>
      </w:pPr>
      <w:r>
        <w:rPr>
          <w:rFonts w:ascii="Consolas" w:cs="Consolas" w:eastAsia="Consolas" w:hAnsi="Consolas"/>
          <w:sz w:val="20"/>
          <w:szCs w:val="20"/>
        </w:rPr>
        <w:t xml:space="preserve">DSW-2026-TP2-Ortega-Nicolas/</w:t>
      </w:r>
    </w:p>
    <w:p>
      <w:pPr>
        <w:spacing w:after="160"/>
      </w:pPr>
      <w:r>
        <w:rPr>
          <w:rFonts w:ascii="Consolas" w:cs="Consolas" w:eastAsia="Consolas" w:hAnsi="Consolas"/>
          <w:sz w:val="20"/>
          <w:szCs w:val="20"/>
        </w:rPr>
        <w:t xml:space="preserve">├── index.html        (portada)</w:t>
      </w:r>
    </w:p>
    <w:p>
      <w:pPr>
        <w:spacing w:after="160"/>
      </w:pPr>
      <w:r>
        <w:rPr>
          <w:rFonts w:ascii="Consolas" w:cs="Consolas" w:eastAsia="Consolas" w:hAnsi="Consolas"/>
          <w:sz w:val="20"/>
          <w:szCs w:val="20"/>
        </w:rPr>
        <w:t xml:space="preserve">├── contacto.html     (sección interna)</w:t>
      </w:r>
    </w:p>
    <w:p>
      <w:pPr>
        <w:spacing w:after="160"/>
      </w:pPr>
      <w:r>
        <w:rPr>
          <w:rFonts w:ascii="Consolas" w:cs="Consolas" w:eastAsia="Consolas" w:hAnsi="Consolas"/>
          <w:sz w:val="20"/>
          <w:szCs w:val="20"/>
        </w:rPr>
        <w:t xml:space="preserve">├── css/styles.css    (CSS compilado y comprimido)</w:t>
      </w:r>
    </w:p>
    <w:p>
      <w:pPr>
        <w:spacing w:after="160"/>
      </w:pPr>
      <w:r>
        <w:rPr>
          <w:rFonts w:ascii="Consolas" w:cs="Consolas" w:eastAsia="Consolas" w:hAnsi="Consolas"/>
          <w:sz w:val="20"/>
          <w:szCs w:val="20"/>
        </w:rPr>
        <w:t xml:space="preserve">├── scss/             (_variables.scss, _custom.scss, styles.scss)</w:t>
      </w:r>
    </w:p>
    <w:p>
      <w:pPr>
        <w:spacing w:after="160"/>
      </w:pPr>
      <w:r>
        <w:rPr>
          <w:rFonts w:ascii="Consolas" w:cs="Consolas" w:eastAsia="Consolas" w:hAnsi="Consolas"/>
          <w:sz w:val="20"/>
          <w:szCs w:val="20"/>
        </w:rPr>
        <w:t xml:space="preserve">├── img/              (favicon e imágenes SVG propias)</w:t>
      </w:r>
    </w:p>
    <w:p>
      <w:pPr>
        <w:spacing w:after="160"/>
      </w:pPr>
      <w:r>
        <w:rPr>
          <w:rFonts w:ascii="Consolas" w:cs="Consolas" w:eastAsia="Consolas" w:hAnsi="Consolas"/>
          <w:sz w:val="20"/>
          <w:szCs w:val="20"/>
        </w:rPr>
        <w:t xml:space="preserve">├── js/               (bootstrap.bundle.min.js + main.js propio)</w:t>
      </w:r>
    </w:p>
    <w:p>
      <w:pPr>
        <w:spacing w:after="160"/>
      </w:pPr>
      <w:r>
        <w:rPr>
          <w:rFonts w:ascii="Consolas" w:cs="Consolas" w:eastAsia="Consolas" w:hAnsi="Consolas"/>
          <w:sz w:val="20"/>
          <w:szCs w:val="20"/>
        </w:rPr>
        <w:t xml:space="preserve">└── doc/              (este informe + el informe SEO)</w:t>
      </w:r>
    </w:p>
    <w:p>
      <w:pPr>
        <w:pStyle w:val="Heading1"/>
      </w:pPr>
      <w:r>
        <w:t xml:space="preserve">4. Componentes JS de Bootstrap utilizados</w:t>
      </w:r>
    </w:p>
    <w:p>
      <w:pPr>
        <w:spacing w:after="160"/>
      </w:pPr>
      <w:r>
        <w:rPr>
          <w:sz w:val="22"/>
          <w:szCs w:val="22"/>
        </w:rPr>
        <w:t xml:space="preserve">Se utilizaron 5 componentes JS de Bootstrap (se exigían como mínimo 4), elegidos en cada caso para resolver un patrón concreto del mockup del TP1, no de forma decorativa.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700"/>
        <w:gridCol w:w="2838"/>
      </w:tblGrid>
      <w:tr>
        <w:tc>
          <w:tcPr>
            <w:tcW w:type="dxa" w:w="17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Componente</w:t>
            </w:r>
          </w:p>
        </w:tc>
        <w:tc>
          <w:tcPr>
            <w:tcW w:type="dxa" w:w="24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Dónde</w:t>
            </w:r>
          </w:p>
        </w:tc>
        <w:tc>
          <w:tcPr>
            <w:tcW w:type="dxa" w:w="27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Qué hace</w:t>
            </w:r>
          </w:p>
        </w:tc>
        <w:tc>
          <w:tcPr>
            <w:tcW w:type="dxa" w:w="2838"/>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Por qué se eligió</w:t>
            </w:r>
          </w:p>
        </w:tc>
      </w:tr>
      <w:tr>
        <w:tc>
          <w:tcPr>
            <w:tcW w:type="dxa" w:w="1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Carousel</w:t>
            </w:r>
          </w:p>
        </w:tc>
        <w:tc>
          <w:tcPr>
            <w:tcW w:type="dxa" w:w="2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Portada — sección “Encontrá tu mejor estilo”</w:t>
            </w:r>
          </w:p>
        </w:tc>
        <w:tc>
          <w:tcPr>
            <w:tcW w:type="dxa" w:w="2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Permite recorrer 3 grupos de imágenes por categoría (Nueva temporada / Trajes / Esmoquin)</w:t>
            </w:r>
          </w:p>
        </w:tc>
        <w:tc>
          <w:tcPr>
            <w:tcW w:type="dxa" w:w="2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El mockup del TP1 mostraba flechas de navegación en ese bloque; es el patrón exacto que resuelve el Carousel de Bootstrap</w:t>
            </w:r>
          </w:p>
        </w:tc>
      </w:tr>
      <w:tr>
        <w:tc>
          <w:tcPr>
            <w:tcW w:type="dxa" w:w="1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Offcanvas</w:t>
            </w:r>
          </w:p>
        </w:tc>
        <w:tc>
          <w:tcPr>
            <w:tcW w:type="dxa" w:w="2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Header — menú mobile (ambas páginas)</w:t>
            </w:r>
          </w:p>
        </w:tc>
        <w:tc>
          <w:tcPr>
            <w:tcW w:type="dxa" w:w="2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Reemplaza el menú horizontal por un panel deslizante en pantallas &lt; 992px</w:t>
            </w:r>
          </w:p>
        </w:tc>
        <w:tc>
          <w:tcPr>
            <w:tcW w:type="dxa" w:w="2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El wireframe mobile del TP1 define un ícono de hamburguesa; Offcanvas es la solución nativa y accesible de Bootstrap 5 (atrapa el foco, cierra con Escape) sin programarlo a mano</w:t>
            </w:r>
          </w:p>
        </w:tc>
      </w:tr>
      <w:tr>
        <w:tc>
          <w:tcPr>
            <w:tcW w:type="dxa" w:w="1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Accordion</w:t>
            </w:r>
          </w:p>
        </w:tc>
        <w:tc>
          <w:tcPr>
            <w:tcW w:type="dxa" w:w="2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Contacto — sidebar, bloques “Horarios” y “Ubicación”</w:t>
            </w:r>
          </w:p>
        </w:tc>
        <w:tc>
          <w:tcPr>
            <w:tcW w:type="dxa" w:w="2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Oculta/muestra el detalle de horarios y zonas de envío</w:t>
            </w:r>
          </w:p>
        </w:tc>
        <w:tc>
          <w:tcPr>
            <w:tcW w:type="dxa" w:w="2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Es información secundaria dentro del flujo de contacto; colapsarla por defecto reduce el largo de la página, sobre todo en mobile</w:t>
            </w:r>
          </w:p>
        </w:tc>
      </w:tr>
      <w:tr>
        <w:tc>
          <w:tcPr>
            <w:tcW w:type="dxa" w:w="1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Toast</w:t>
            </w:r>
          </w:p>
        </w:tc>
        <w:tc>
          <w:tcPr>
            <w:tcW w:type="dxa" w:w="2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Contacto — confirmación de envío del formulario</w:t>
            </w:r>
          </w:p>
        </w:tc>
        <w:tc>
          <w:tcPr>
            <w:tcW w:type="dxa" w:w="2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Muestra una notificación no bloqueante de “mensaje enviado”</w:t>
            </w:r>
          </w:p>
        </w:tc>
        <w:tc>
          <w:tcPr>
            <w:tcW w:type="dxa" w:w="2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Al no haber backend real en este TP, el Toast comunica el resultado del envío simulado sin interrumpir al usuario con un alert()</w:t>
            </w:r>
          </w:p>
        </w:tc>
      </w:tr>
      <w:tr>
        <w:tc>
          <w:tcPr>
            <w:tcW w:type="dxa" w:w="1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Tooltip</w:t>
            </w:r>
          </w:p>
        </w:tc>
        <w:tc>
          <w:tcPr>
            <w:tcW w:type="dxa" w:w="2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Header — ícono de carrito (ambas páginas)</w:t>
            </w:r>
          </w:p>
        </w:tc>
        <w:tc>
          <w:tcPr>
            <w:tcW w:type="dxa" w:w="27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Aclara la función del ícono al pasar el mouse o enfocar con teclado</w:t>
            </w:r>
          </w:p>
        </w:tc>
        <w:tc>
          <w:tcPr>
            <w:tcW w:type="dxa" w:w="2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Bootstrap 5 exige inicialización manual por JS; se aprovechó para reforzar la accesibilidad de un ícono sin texto visible</w:t>
            </w:r>
          </w:p>
        </w:tc>
      </w:tr>
    </w:tbl>
    <w:p>
      <w:pPr>
        <w:pStyle w:val="Heading1"/>
      </w:pPr>
      <w:r>
        <w:t xml:space="preserve">5. JavaScript propio y captura de eventos</w:t>
      </w:r>
    </w:p>
    <w:p>
      <w:pPr>
        <w:spacing w:after="160"/>
      </w:pPr>
      <w:r>
        <w:rPr>
          <w:sz w:val="22"/>
          <w:szCs w:val="22"/>
        </w:rPr>
        <w:t xml:space="preserve">Además de los componentes de Bootstrap, se programó JavaScript propio (js/main.js) para capturar eventos del DOM. La lógica está separada en dos bloques: inicialización/sincronización de componentes de Bootstrap, y comportamiento propio del sitio.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38"/>
      </w:tblGrid>
      <w:tr>
        <w:tc>
          <w:tcPr>
            <w:tcW w:type="dxa" w:w="22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Evento</w:t>
            </w:r>
          </w:p>
        </w:tc>
        <w:tc>
          <w:tcPr>
            <w:tcW w:type="dxa" w:w="28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Elemento</w:t>
            </w:r>
          </w:p>
        </w:tc>
        <w:tc>
          <w:tcPr>
            <w:tcW w:type="dxa" w:w="4638"/>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Qué hace</w:t>
            </w:r>
          </w:p>
        </w:tc>
      </w:tr>
      <w:tr>
        <w:tc>
          <w:tcPr>
            <w:tcW w:type="dxa" w:w="2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scroll (window)</w:t>
            </w:r>
          </w:p>
        </w:tc>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Navbar y botón “volver arriba”</w:t>
            </w:r>
          </w:p>
        </w:tc>
        <w:tc>
          <w:tcPr>
            <w:tcW w:type="dxa" w:w="46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Agrega la clase .is-scrolled al navbar (sombra) y muestra/oculta el botón de volver arriba pasado un umbral de scroll</w:t>
            </w:r>
          </w:p>
        </w:tc>
      </w:tr>
      <w:tr>
        <w:tc>
          <w:tcPr>
            <w:tcW w:type="dxa" w:w="2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input / blur</w:t>
            </w:r>
          </w:p>
        </w:tc>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Campos del formulario de contacto</w:t>
            </w:r>
          </w:p>
        </w:tc>
        <w:tc>
          <w:tcPr>
            <w:tcW w:type="dxa" w:w="46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Valida cada campo en vivo (clases is-valid-live / is-invalid-live) antes de intentar enviar el formulario</w:t>
            </w:r>
          </w:p>
        </w:tc>
      </w:tr>
      <w:tr>
        <w:tc>
          <w:tcPr>
            <w:tcW w:type="dxa" w:w="2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submit</w:t>
            </w:r>
          </w:p>
        </w:tc>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Formulario de contacto</w:t>
            </w:r>
          </w:p>
        </w:tc>
        <w:tc>
          <w:tcPr>
            <w:tcW w:type="dxa" w:w="46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Previene el envío real (no hay backend en este TP), valida todos los campos y dispara el Toast de confirmación</w:t>
            </w:r>
          </w:p>
        </w:tc>
      </w:tr>
      <w:tr>
        <w:tc>
          <w:tcPr>
            <w:tcW w:type="dxa" w:w="2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change</w:t>
            </w:r>
          </w:p>
        </w:tc>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Radios “Canales” y “Tipo de consulta”</w:t>
            </w:r>
          </w:p>
        </w:tc>
        <w:tc>
          <w:tcPr>
            <w:tcW w:type="dxa" w:w="46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Actualiza un resumen de texto visible (ej. “Vas a contactarnos por WhatsApp sobre: un alquiler”) sin recargar la página</w:t>
            </w:r>
          </w:p>
        </w:tc>
      </w:tr>
      <w:tr>
        <w:tc>
          <w:tcPr>
            <w:tcW w:type="dxa" w:w="2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shown.bs.offcanvas / hidden.bs.offcanvas</w:t>
            </w:r>
          </w:p>
        </w:tc>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Botón hamburguesa</w:t>
            </w:r>
          </w:p>
        </w:tc>
        <w:tc>
          <w:tcPr>
            <w:tcW w:type="dxa" w:w="46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Sincroniza el ícono y el atributo aria-expanded del botón con el estado real del menú mobile, ya que Bootstrap no lo hace por sí solo</w:t>
            </w:r>
          </w:p>
        </w:tc>
      </w:tr>
    </w:tbl>
    <w:p>
      <w:pPr>
        <w:spacing w:after="160"/>
      </w:pPr>
      <w:r>
        <w:rPr>
          <w:sz w:val="22"/>
          <w:szCs w:val="22"/>
        </w:rPr>
        <w:t xml:space="preserve"> </w:t>
      </w:r>
    </w:p>
    <w:p>
      <w:pPr>
        <w:spacing w:after="160"/>
      </w:pPr>
      <w:r>
        <w:rPr>
          <w:sz w:val="22"/>
          <w:szCs w:val="22"/>
        </w:rPr>
        <w:t xml:space="preserve">Criterio de diseño: cada evento resuelve un problema real de usabilidad del propio sitio (validar antes de enviar, confirmar el envío, orientar la consulta, mantener accesible el menú) en lugar de agregarse únicamente para cumplir el requisito del TP.</w:t>
      </w:r>
    </w:p>
    <w:p>
      <w:pPr>
        <w:pStyle w:val="Heading1"/>
      </w:pPr>
      <w:r>
        <w:t xml:space="preserve">6. Personalización de Bootstrap mediante Sass</w:t>
      </w:r>
    </w:p>
    <w:p>
      <w:pPr>
        <w:spacing w:after="160"/>
      </w:pPr>
      <w:r>
        <w:rPr>
          <w:sz w:val="22"/>
          <w:szCs w:val="22"/>
        </w:rPr>
        <w:t xml:space="preserve">Ubicación: scss/_variables.scss (variables de marca, importadas antes del núcleo de Bootstrap) + scss/_custom.scss (componentes propios del sitio) + scss/styles.scss (punto de entrada que ensambla ambos con los módulos de Bootstrap que el sitio usa).</w:t>
      </w:r>
    </w:p>
    <w:p>
      <w:pPr>
        <w:pStyle w:val="ListParagraph"/>
        <w:numPr>
          <w:ilvl w:val="0"/>
          <w:numId w:val="2"/>
        </w:numPr>
        <w:spacing w:after="80"/>
      </w:pPr>
      <w:r>
        <w:rPr>
          <w:sz w:val="22"/>
          <w:szCs w:val="22"/>
        </w:rPr>
        <w:t xml:space="preserve">Paleta de color: $primary, $secondary, $dark, $body-bg y variables propias ($ts-navy-950, $ts-red-700, etc.) mapeadas a la paleta de marca definida en el TP1 (navy #0d1b2e de fondo, rojo #8a1f1f de acción).</w:t>
      </w:r>
    </w:p>
    <w:p>
      <w:pPr>
        <w:pStyle w:val="ListParagraph"/>
        <w:numPr>
          <w:ilvl w:val="0"/>
          <w:numId w:val="2"/>
        </w:numPr>
        <w:spacing w:after="80"/>
      </w:pPr>
      <w:r>
        <w:rPr>
          <w:sz w:val="22"/>
          <w:szCs w:val="22"/>
        </w:rPr>
        <w:t xml:space="preserve">Tipografía: $font-family-serif (Cormorant Garamond) para $headings-font-family, y $font-family-sans (Montserrat) para $font-family-base, reproduciendo el contraste serif/sans del mockup.</w:t>
      </w:r>
    </w:p>
    <w:p>
      <w:pPr>
        <w:pStyle w:val="ListParagraph"/>
        <w:numPr>
          <w:ilvl w:val="0"/>
          <w:numId w:val="2"/>
        </w:numPr>
        <w:spacing w:after="80"/>
      </w:pPr>
      <w:r>
        <w:rPr>
          <w:sz w:val="22"/>
          <w:szCs w:val="22"/>
        </w:rPr>
        <w:t xml:space="preserve">Forma: $border-radius y todas sus variantes (botones, inputs, cards) en 0, para la estética recta de sastrería formal definida en el mockup — ningún componente de Bootstrap usa su esquina redondeada por defecto.</w:t>
      </w:r>
    </w:p>
    <w:p>
      <w:pPr>
        <w:pStyle w:val="ListParagraph"/>
        <w:numPr>
          <w:ilvl w:val="0"/>
          <w:numId w:val="2"/>
        </w:numPr>
        <w:spacing w:after="80"/>
      </w:pPr>
      <w:r>
        <w:rPr>
          <w:sz w:val="22"/>
          <w:szCs w:val="22"/>
        </w:rPr>
        <w:t xml:space="preserve">Botones: $btn-padding-y/x y $btn-font-weight ajustados para que el texto en mayúsculas con tracking del mockup tenga el tamaño de click correcto.</w:t>
      </w:r>
    </w:p>
    <w:p>
      <w:pPr>
        <w:pStyle w:val="ListParagraph"/>
        <w:numPr>
          <w:ilvl w:val="0"/>
          <w:numId w:val="2"/>
        </w:numPr>
        <w:spacing w:after="80"/>
      </w:pPr>
      <w:r>
        <w:rPr>
          <w:sz w:val="22"/>
          <w:szCs w:val="22"/>
        </w:rPr>
        <w:t xml:space="preserve">Contenedores: $container-max-widths ampliado en xl/xxl para aprovechar mejor el ancho en pantallas grandes, ya que el layout del mockup usa bastante aire horizontal.</w:t>
      </w:r>
    </w:p>
    <w:p>
      <w:pPr>
        <w:spacing w:after="160"/>
      </w:pPr>
      <w:r>
        <w:rPr>
          <w:sz w:val="22"/>
          <w:szCs w:val="22"/>
        </w:rPr>
        <w:t xml:space="preserve">Se eligió recompilar Bootstrap en vez de sobrescribir clases con CSS suelto porque las variables de marca se propagan automáticamente a todos los componentes (botones, badges, formularios, navbar, breadcrumb) sin tener que repetir el ajuste en cada selector, y porque mantiene una única fuente de verdad para la paleta y la tipografía del sitio.</w:t>
      </w:r>
    </w:p>
    <w:p>
      <w:pPr>
        <w:pStyle w:val="Heading1"/>
      </w:pPr>
      <w:r>
        <w:t xml:space="preserve">7. Publicación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URL del proyecto publicado</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i/>
                <w:iCs/>
                <w:sz w:val="19"/>
                <w:szCs w:val="19"/>
              </w:rPr>
              <w:t xml:space="preserve">[A COMPLETAR luego de publicar — ver guía de publicación entregada aparte]</w:t>
            </w:r>
          </w:p>
        </w:tc>
      </w:tr>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Repositorio / hosting elegido</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GitHub + GitHub Pages</w:t>
            </w:r>
          </w:p>
        </w:tc>
      </w:tr>
    </w:tbl>
    <w:p>
      <w:pPr>
        <w:spacing w:after="160"/>
      </w:pPr>
      <w:r>
        <w:rPr>
          <w:sz w:val="22"/>
          <w:szCs w:val="22"/>
        </w:rPr>
        <w:t xml:space="preserve"> </w:t>
      </w:r>
    </w:p>
    <w:p>
      <w:pPr>
        <w:spacing w:after="160"/>
      </w:pPr>
      <w:r>
        <w:rPr>
          <w:sz w:val="22"/>
          <w:szCs w:val="22"/>
        </w:rPr>
        <w:t xml:space="preserve">Justificación de la elección: el sitio es 100% estático (HTML/CSS/JS sin backend), por lo que no requiere un servidor con lenguaje de back-end ni base de datos. GitHub Pages permite publicar directamente desde un repositorio Git con HTTPS automático y sin costo, y el control de versiones con Git ya se usa en la cursada, por lo que no agrega una herramienta nueva al flujo de trabajo. Es también la opción que más documentación y soporte tiene para proyectos académicos de este tipo.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C8AA3"/>
        <w:sz w:val="16"/>
        <w:szCs w:val="16"/>
      </w:rPr>
      <w:t xml:space="preserve">Página </w:t>
    </w:r>
    <w:r>
      <w:rPr>
        <w:color w:val="7C8AA3"/>
        <w:sz w:val="16"/>
        <w:szCs w:val="16"/>
      </w:rPr>
      <w:fldChar w:fldCharType="begin"/>
      <w:instrText xml:space="preserve">PAGE</w:instrText>
      <w:fldChar w:fldCharType="separate"/>
      <w:fldChar w:fldCharType="end"/>
    </w:r>
    <w:r>
      <w:rPr>
        <w:color w:val="7C8AA3"/>
        <w:sz w:val="16"/>
        <w:szCs w:val="16"/>
      </w:rPr>
      <w:t xml:space="preserve"> de </w:t>
    </w:r>
    <w:r>
      <w:rPr>
        <w:color w:val="7C8AA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C8AA3"/>
        <w:sz w:val="16"/>
        <w:szCs w:val="16"/>
      </w:rPr>
      <w:t xml:space="preserve">This Suits — Informe Técnico Web (TP2)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263C"/>
      <w:sz w:val="30"/>
      <w:szCs w:val="30"/>
    </w:rPr>
  </w:style>
  <w:style w:type="paragraph" w:styleId="Heading2">
    <w:name w:val="Heading 2"/>
    <w:basedOn w:val="Normal"/>
    <w:next w:val="Normal"/>
    <w:qFormat/>
    <w:pPr>
      <w:spacing w:after="160" w:before="260"/>
      <w:outlineLvl w:val="1"/>
    </w:pPr>
    <w:rPr>
      <w:rFonts w:ascii="Arial" w:cs="Arial" w:eastAsia="Arial" w:hAnsi="Arial"/>
      <w:b/>
      <w:bCs/>
      <w:color w:val="16263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2026-06-26T23:15:31.869Z</dcterms:created>
  <dcterms:modified xsi:type="dcterms:W3CDTF">2026-06-26T23:15:31.869Z</dcterms:modified>
</cp:coreProperties>
</file>

<file path=docProps/custom.xml><?xml version="1.0" encoding="utf-8"?>
<Properties xmlns="http://schemas.openxmlformats.org/officeDocument/2006/custom-properties" xmlns:vt="http://schemas.openxmlformats.org/officeDocument/2006/docPropsVTypes"/>
</file>