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Informe Técnico — Construcción del Sitio Web</w:t>
      </w:r>
    </w:p>
    <w:p>
      <w:pPr>
        <w:spacing w:after="360"/>
        <w:jc w:val="center"/>
      </w:pPr>
      <w:r>
        <w:rPr>
          <w:color w:val="5A6472"/>
          <w:sz w:val="22"/>
          <w:szCs w:val="22"/>
        </w:rPr>
        <w:t xml:space="preserve">This Suits · Trabajo Práctico 2 · Desarrollo de Sitios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b/>
                <w:bCs/>
                <w:sz w:val="19"/>
                <w:szCs w:val="19"/>
              </w:rPr>
              <w:t xml:space="preserve">Integrante</w:t>
            </w:r>
          </w:p>
        </w:tc>
        <w:tc>
          <w:tcPr>
            <w:tcW w:type="dxa" w:w="6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Nicolás Ortega</w:t>
            </w:r>
          </w:p>
        </w:tc>
      </w:tr>
      <w:tr>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b/>
                <w:bCs/>
                <w:sz w:val="19"/>
                <w:szCs w:val="19"/>
              </w:rPr>
              <w:t xml:space="preserve">Materia</w:t>
            </w:r>
          </w:p>
        </w:tc>
        <w:tc>
          <w:tcPr>
            <w:tcW w:type="dxa" w:w="6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Desarrollo de Sitios Web — TUTI, UTN Facultad Regional Santa Fe</w:t>
            </w:r>
          </w:p>
        </w:tc>
      </w:tr>
      <w:tr>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b/>
                <w:bCs/>
                <w:sz w:val="19"/>
                <w:szCs w:val="19"/>
              </w:rPr>
              <w:t xml:space="preserve">Proyecto</w:t>
            </w:r>
          </w:p>
        </w:tc>
        <w:tc>
          <w:tcPr>
            <w:tcW w:type="dxa" w:w="6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This Suits — alquiler y venta de trajes formales</w:t>
            </w:r>
          </w:p>
        </w:tc>
      </w:tr>
      <w:tr>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b/>
                <w:bCs/>
                <w:sz w:val="19"/>
                <w:szCs w:val="19"/>
              </w:rPr>
              <w:t xml:space="preserve">Alcance de esta entrega</w:t>
            </w:r>
          </w:p>
        </w:tc>
        <w:tc>
          <w:tcPr>
            <w:tcW w:type="dxa" w:w="6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Sitio completo: Portada + Catálogo + Producto + Contacto</w:t>
            </w:r>
          </w:p>
        </w:tc>
      </w:tr>
      <w:tr>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hyperlink w:history="1" r:id="rIdsngu_mq_qlwq1go3botrc">
              <w:r>
                <w:rPr>
                  <w:color w:val="8A1F1F"/>
                  <w:sz w:val="19"/>
                  <w:szCs w:val="19"/>
                  <w:u w:val="single"/>
                </w:rPr>
                <w:t xml:space="preserve">URL publicada</w:t>
              </w:r>
            </w:hyperlink>
          </w:p>
        </w:tc>
        <w:tc>
          <w:tcPr>
            <w:tcW w:type="dxa" w:w="6838"/>
            <w:tcBorders>
              <w:top w:val="single" w:color="B9C0CC" w:sz="2"/>
              <w:left w:val="single" w:color="B9C0CC" w:sz="2"/>
              <w:bottom w:val="single" w:color="B9C0CC" w:sz="2"/>
              <w:right w:val="single" w:color="B9C0CC" w:sz="2"/>
            </w:tcBorders>
            <w:tcMar>
              <w:top w:type="dxa" w:w="100"/>
              <w:left w:type="dxa" w:w="120"/>
              <w:bottom w:type="dxa" w:w="100"/>
              <w:right w:type="dxa" w:w="120"/>
            </w:tcMar>
          </w:tcPr>
          <w:p>
            <w:hyperlink w:history="1" r:id="rIdtyeodwa3mbe0o1zvcidnp">
              <w:r>
                <w:rPr>
                  <w:color w:val="8A1F1F"/>
                  <w:sz w:val="19"/>
                  <w:szCs w:val="19"/>
                  <w:u w:val="single"/>
                </w:rPr>
                <w:t xml:space="preserve">https://nicolasortega1993.github.io/this-suits/</w:t>
              </w:r>
            </w:hyperlink>
          </w:p>
        </w:tc>
      </w:tr>
    </w:tbl>
    <w:p>
      <w:pPr>
        <w:pStyle w:val="Heading1"/>
      </w:pPr>
      <w:r>
        <w:t xml:space="preserve">1. Alcance de esta entrega</w:t>
      </w:r>
    </w:p>
    <w:p>
      <w:pPr>
        <w:spacing w:after="160"/>
      </w:pPr>
      <w:r>
        <w:rPr>
          <w:sz w:val="22"/>
          <w:szCs w:val="22"/>
        </w:rPr>
        <w:t xml:space="preserve">Esta entrega corresponde a un trabajo individual. El mínimo exigido por la consigna del TP2 para una entrega individual es portada + 1 sección interna; sin embargo, se optó por completar las cuatro páginas conceptualizadas en el TP1 (Portada, Catálogo, Producto y Contacto) para entregar el sitio funcionando como una experiencia de navegación completa, con enlaces internos reales entre todas las secciones.</w:t>
      </w:r>
    </w:p>
    <w:p>
      <w:pPr>
        <w:pStyle w:val="ListParagraph"/>
        <w:numPr>
          <w:ilvl w:val="0"/>
          <w:numId w:val="2"/>
        </w:numPr>
        <w:spacing w:after="80"/>
      </w:pPr>
      <w:r>
        <w:rPr>
          <w:sz w:val="22"/>
          <w:szCs w:val="22"/>
        </w:rPr>
        <w:t xml:space="preserve">index.html — Portada</w:t>
      </w:r>
    </w:p>
    <w:p>
      <w:pPr>
        <w:pStyle w:val="ListParagraph"/>
        <w:numPr>
          <w:ilvl w:val="0"/>
          <w:numId w:val="2"/>
        </w:numPr>
        <w:spacing w:after="80"/>
      </w:pPr>
      <w:r>
        <w:rPr>
          <w:sz w:val="22"/>
          <w:szCs w:val="22"/>
        </w:rPr>
        <w:t xml:space="preserve">catalogo.html — Listado de productos con filtros funcionales</w:t>
      </w:r>
    </w:p>
    <w:p>
      <w:pPr>
        <w:pStyle w:val="ListParagraph"/>
        <w:numPr>
          <w:ilvl w:val="0"/>
          <w:numId w:val="2"/>
        </w:numPr>
        <w:spacing w:after="80"/>
      </w:pPr>
      <w:r>
        <w:rPr>
          <w:sz w:val="22"/>
          <w:szCs w:val="22"/>
        </w:rPr>
        <w:t xml:space="preserve">producto.html — Ficha de producto (Traje Royal Windsor) con galería de imágenes</w:t>
      </w:r>
    </w:p>
    <w:p>
      <w:pPr>
        <w:pStyle w:val="ListParagraph"/>
        <w:numPr>
          <w:ilvl w:val="0"/>
          <w:numId w:val="2"/>
        </w:numPr>
        <w:spacing w:after="80"/>
      </w:pPr>
      <w:r>
        <w:rPr>
          <w:sz w:val="22"/>
          <w:szCs w:val="22"/>
        </w:rPr>
        <w:t xml:space="preserve">contacto.html — Formulario y datos de contacto</w:t>
      </w:r>
    </w:p>
    <w:p>
      <w:pPr>
        <w:pStyle w:val="Heading1"/>
      </w:pPr>
      <w:r>
        <w:t xml:space="preserve">2. Cambios respecto del TP1</w:t>
      </w:r>
    </w:p>
    <w:p>
      <w:pPr>
        <w:spacing w:after="160"/>
      </w:pPr>
      <w:r>
        <w:rPr>
          <w:sz w:val="22"/>
          <w:szCs w:val="22"/>
        </w:rPr>
        <w:t xml:space="preserve">Se realizaron los siguientes ajustes respecto de lo definido en el TP1. No fue necesario corregir wireframes ni mockups, por lo que no se incluye carpeta /tp1 en esta entrega.</w:t>
      </w:r>
    </w:p>
    <w:p>
      <w:pPr>
        <w:pStyle w:val="ListParagraph"/>
        <w:numPr>
          <w:ilvl w:val="0"/>
          <w:numId w:val="2"/>
        </w:numPr>
        <w:spacing w:after="80"/>
      </w:pPr>
      <w:r>
        <w:rPr>
          <w:sz w:val="22"/>
          <w:szCs w:val="22"/>
        </w:rPr>
        <w:t xml:space="preserve">En Contacto, se simplificó el orden de bloques en mobile definido originalmente en el wireframe (filtros → foto → información → formulario → mapa) a un orden equivalente pero más simple de mantener en un único bloque de HTML (filtros → foto + mapa → información + formulario), evitando duplicar marcado por breakpoint.</w:t>
      </w:r>
    </w:p>
    <w:p>
      <w:pPr>
        <w:pStyle w:val="ListParagraph"/>
        <w:numPr>
          <w:ilvl w:val="0"/>
          <w:numId w:val="2"/>
        </w:numPr>
        <w:spacing w:after="80"/>
      </w:pPr>
      <w:r>
        <w:rPr>
          <w:sz w:val="22"/>
          <w:szCs w:val="22"/>
        </w:rPr>
        <w:t xml:space="preserve">Se ajustó la luminosidad de dos colores de la paleta del TP1 por motivos de accesibilidad (mismo matiz, distinto brillo): el gris azulado secundario se oscureció para que el texto sobre fondo blanco cumpla el contraste mínimo WCAG AA, y se sumó una variante más clara del rojo de marca exclusivamente para texto destacado sobre el fondo navy. El detalle de las verificaciones de contraste está en el informe SEO.</w:t>
      </w:r>
    </w:p>
    <w:p>
      <w:pPr>
        <w:pStyle w:val="ListParagraph"/>
        <w:numPr>
          <w:ilvl w:val="0"/>
          <w:numId w:val="2"/>
        </w:numPr>
        <w:spacing w:after="80"/>
      </w:pPr>
      <w:r>
        <w:rPr>
          <w:sz w:val="22"/>
          <w:szCs w:val="22"/>
        </w:rPr>
        <w:t xml:space="preserve">Imágenes de producto: el mockup del TP1 usaba recuadros grises de relleno a modo de boceto. Para esta entrega se reemplazaron por ilustraciones vectoriales (SVG) propias de cada prenda — no se usaron fotografías de stock de terceros para evitar cualquier problema de derechos de autor al publicar el sitio públicamente. El detalle está en la sección 8 de este informe.</w:t>
      </w:r>
    </w:p>
    <w:p>
      <w:pPr>
        <w:pStyle w:val="ListParagraph"/>
        <w:numPr>
          <w:ilvl w:val="0"/>
          <w:numId w:val="2"/>
        </w:numPr>
        <w:spacing w:after="80"/>
      </w:pPr>
      <w:r>
        <w:rPr>
          <w:sz w:val="22"/>
          <w:szCs w:val="22"/>
        </w:rPr>
        <w:t xml:space="preserve">En el listado de Catálogo se implementó un único producto con ficha de detalle real (Traje Royal Windsor); el resto de las tarjetas del catálogo y de la portada enlazan a esa misma ficha a modo demostrativo, ya que no hay backend con rutas dinámicas por producto en este TP.</w:t>
      </w:r>
    </w:p>
    <w:p>
      <w:pPr>
        <w:pStyle w:val="Heading1"/>
      </w:pPr>
      <w:r>
        <w:t xml:space="preserve">3. Estructura de archivos</w:t>
      </w:r>
    </w:p>
    <w:p>
      <w:pPr>
        <w:spacing w:after="60"/>
      </w:pPr>
      <w:r>
        <w:rPr>
          <w:rFonts w:ascii="Consolas" w:cs="Consolas" w:eastAsia="Consolas" w:hAnsi="Consolas"/>
          <w:sz w:val="20"/>
          <w:szCs w:val="20"/>
        </w:rPr>
        <w:t xml:space="preserve">DSW-2026-TP2-Ortega-Nicolas/</w:t>
      </w:r>
    </w:p>
    <w:p>
      <w:pPr>
        <w:spacing w:after="60"/>
      </w:pPr>
      <w:r>
        <w:rPr>
          <w:rFonts w:ascii="Consolas" w:cs="Consolas" w:eastAsia="Consolas" w:hAnsi="Consolas"/>
          <w:sz w:val="20"/>
          <w:szCs w:val="20"/>
        </w:rPr>
        <w:t xml:space="preserve">├── index.html          (portada)</w:t>
      </w:r>
    </w:p>
    <w:p>
      <w:pPr>
        <w:spacing w:after="60"/>
      </w:pPr>
      <w:r>
        <w:rPr>
          <w:rFonts w:ascii="Consolas" w:cs="Consolas" w:eastAsia="Consolas" w:hAnsi="Consolas"/>
          <w:sz w:val="20"/>
          <w:szCs w:val="20"/>
        </w:rPr>
        <w:t xml:space="preserve">├── catalogo.html       (listado de productos)</w:t>
      </w:r>
    </w:p>
    <w:p>
      <w:pPr>
        <w:spacing w:after="60"/>
      </w:pPr>
      <w:r>
        <w:rPr>
          <w:rFonts w:ascii="Consolas" w:cs="Consolas" w:eastAsia="Consolas" w:hAnsi="Consolas"/>
          <w:sz w:val="20"/>
          <w:szCs w:val="20"/>
        </w:rPr>
        <w:t xml:space="preserve">├── producto.html       (ficha de producto)</w:t>
      </w:r>
    </w:p>
    <w:p>
      <w:pPr>
        <w:spacing w:after="60"/>
      </w:pPr>
      <w:r>
        <w:rPr>
          <w:rFonts w:ascii="Consolas" w:cs="Consolas" w:eastAsia="Consolas" w:hAnsi="Consolas"/>
          <w:sz w:val="20"/>
          <w:szCs w:val="20"/>
        </w:rPr>
        <w:t xml:space="preserve">├── contacto.html       (sección de contacto)</w:t>
      </w:r>
    </w:p>
    <w:p>
      <w:pPr>
        <w:spacing w:after="60"/>
      </w:pPr>
      <w:r>
        <w:rPr>
          <w:rFonts w:ascii="Consolas" w:cs="Consolas" w:eastAsia="Consolas" w:hAnsi="Consolas"/>
          <w:sz w:val="20"/>
          <w:szCs w:val="20"/>
        </w:rPr>
        <w:t xml:space="preserve">├── css/styles.css      (CSS compilado y comprimido)</w:t>
      </w:r>
    </w:p>
    <w:p>
      <w:pPr>
        <w:spacing w:after="60"/>
      </w:pPr>
      <w:r>
        <w:rPr>
          <w:rFonts w:ascii="Consolas" w:cs="Consolas" w:eastAsia="Consolas" w:hAnsi="Consolas"/>
          <w:sz w:val="20"/>
          <w:szCs w:val="20"/>
        </w:rPr>
        <w:t xml:space="preserve">├── scss/               (_variables.scss, _custom.scss, styles.scss)</w:t>
      </w:r>
    </w:p>
    <w:p>
      <w:pPr>
        <w:spacing w:after="60"/>
      </w:pPr>
      <w:r>
        <w:rPr>
          <w:rFonts w:ascii="Consolas" w:cs="Consolas" w:eastAsia="Consolas" w:hAnsi="Consolas"/>
          <w:sz w:val="20"/>
          <w:szCs w:val="20"/>
        </w:rPr>
        <w:t xml:space="preserve">├── img/                (favicon, placeholders de mapa/local)</w:t>
      </w:r>
    </w:p>
    <w:p>
      <w:pPr>
        <w:spacing w:after="60"/>
      </w:pPr>
      <w:r>
        <w:rPr>
          <w:rFonts w:ascii="Consolas" w:cs="Consolas" w:eastAsia="Consolas" w:hAnsi="Consolas"/>
          <w:sz w:val="20"/>
          <w:szCs w:val="20"/>
        </w:rPr>
        <w:t xml:space="preserve">│   └── productos/      (ilustraciones SVG propias de cada prenda)</w:t>
      </w:r>
    </w:p>
    <w:p>
      <w:pPr>
        <w:spacing w:after="60"/>
      </w:pPr>
      <w:r>
        <w:rPr>
          <w:rFonts w:ascii="Consolas" w:cs="Consolas" w:eastAsia="Consolas" w:hAnsi="Consolas"/>
          <w:sz w:val="20"/>
          <w:szCs w:val="20"/>
        </w:rPr>
        <w:t xml:space="preserve">├── js/                 (bootstrap.bundle.min.js + main.js propio)</w:t>
      </w:r>
    </w:p>
    <w:p>
      <w:pPr>
        <w:spacing w:after="60"/>
      </w:pPr>
      <w:r>
        <w:rPr>
          <w:rFonts w:ascii="Consolas" w:cs="Consolas" w:eastAsia="Consolas" w:hAnsi="Consolas"/>
          <w:sz w:val="20"/>
          <w:szCs w:val="20"/>
        </w:rPr>
        <w:t xml:space="preserve">└── doc/                (este informe + el informe SEO)</w:t>
      </w:r>
    </w:p>
    <w:p>
      <w:pPr>
        <w:pStyle w:val="Heading1"/>
      </w:pPr>
      <w:r>
        <w:t xml:space="preserve">4. Componentes JS de Bootstrap utilizados</w:t>
      </w:r>
    </w:p>
    <w:p>
      <w:pPr>
        <w:spacing w:after="160"/>
      </w:pPr>
      <w:r>
        <w:rPr>
          <w:sz w:val="22"/>
          <w:szCs w:val="22"/>
        </w:rPr>
        <w:t xml:space="preserve">Se utilizaron 5 componentes JS de Bootstrap (se exigían como mínimo 4), elegidos en cada caso para resolver un patrón concreto del mockup del TP1.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500"/>
        <w:gridCol w:w="2838"/>
      </w:tblGrid>
      <w:tr>
        <w:tc>
          <w:tcPr>
            <w:tcW w:type="dxa" w:w="1700"/>
            <w:tcBorders>
              <w:top w:val="single" w:color="B9C0CC" w:sz="2"/>
              <w:left w:val="single" w:color="B9C0CC" w:sz="2"/>
              <w:bottom w:val="single" w:color="B9C0CC" w:sz="2"/>
              <w:right w:val="single" w:color="B9C0CC" w:sz="2"/>
            </w:tcBorders>
            <w:shd w:fill="16263C" w:val="clear"/>
            <w:tcMar>
              <w:top w:type="dxa" w:w="100"/>
              <w:left w:type="dxa" w:w="120"/>
              <w:bottom w:type="dxa" w:w="100"/>
              <w:right w:type="dxa" w:w="120"/>
            </w:tcMar>
          </w:tcPr>
          <w:p>
            <w:r>
              <w:rPr>
                <w:b/>
                <w:bCs/>
                <w:color w:val="FFFFFF"/>
                <w:sz w:val="19"/>
                <w:szCs w:val="19"/>
              </w:rPr>
              <w:t xml:space="preserve">Componente</w:t>
            </w:r>
          </w:p>
        </w:tc>
        <w:tc>
          <w:tcPr>
            <w:tcW w:type="dxa" w:w="2600"/>
            <w:tcBorders>
              <w:top w:val="single" w:color="B9C0CC" w:sz="2"/>
              <w:left w:val="single" w:color="B9C0CC" w:sz="2"/>
              <w:bottom w:val="single" w:color="B9C0CC" w:sz="2"/>
              <w:right w:val="single" w:color="B9C0CC" w:sz="2"/>
            </w:tcBorders>
            <w:shd w:fill="16263C" w:val="clear"/>
            <w:tcMar>
              <w:top w:type="dxa" w:w="100"/>
              <w:left w:type="dxa" w:w="120"/>
              <w:bottom w:type="dxa" w:w="100"/>
              <w:right w:type="dxa" w:w="120"/>
            </w:tcMar>
          </w:tcPr>
          <w:p>
            <w:r>
              <w:rPr>
                <w:b/>
                <w:bCs/>
                <w:color w:val="FFFFFF"/>
                <w:sz w:val="19"/>
                <w:szCs w:val="19"/>
              </w:rPr>
              <w:t xml:space="preserve">Dónde</w:t>
            </w:r>
          </w:p>
        </w:tc>
        <w:tc>
          <w:tcPr>
            <w:tcW w:type="dxa" w:w="2500"/>
            <w:tcBorders>
              <w:top w:val="single" w:color="B9C0CC" w:sz="2"/>
              <w:left w:val="single" w:color="B9C0CC" w:sz="2"/>
              <w:bottom w:val="single" w:color="B9C0CC" w:sz="2"/>
              <w:right w:val="single" w:color="B9C0CC" w:sz="2"/>
            </w:tcBorders>
            <w:shd w:fill="16263C" w:val="clear"/>
            <w:tcMar>
              <w:top w:type="dxa" w:w="100"/>
              <w:left w:type="dxa" w:w="120"/>
              <w:bottom w:type="dxa" w:w="100"/>
              <w:right w:type="dxa" w:w="120"/>
            </w:tcMar>
          </w:tcPr>
          <w:p>
            <w:r>
              <w:rPr>
                <w:b/>
                <w:bCs/>
                <w:color w:val="FFFFFF"/>
                <w:sz w:val="19"/>
                <w:szCs w:val="19"/>
              </w:rPr>
              <w:t xml:space="preserve">Qué hace</w:t>
            </w:r>
          </w:p>
        </w:tc>
        <w:tc>
          <w:tcPr>
            <w:tcW w:type="dxa" w:w="2838"/>
            <w:tcBorders>
              <w:top w:val="single" w:color="B9C0CC" w:sz="2"/>
              <w:left w:val="single" w:color="B9C0CC" w:sz="2"/>
              <w:bottom w:val="single" w:color="B9C0CC" w:sz="2"/>
              <w:right w:val="single" w:color="B9C0CC" w:sz="2"/>
            </w:tcBorders>
            <w:shd w:fill="16263C" w:val="clear"/>
            <w:tcMar>
              <w:top w:type="dxa" w:w="100"/>
              <w:left w:type="dxa" w:w="120"/>
              <w:bottom w:type="dxa" w:w="100"/>
              <w:right w:type="dxa" w:w="120"/>
            </w:tcMar>
          </w:tcPr>
          <w:p>
            <w:r>
              <w:rPr>
                <w:b/>
                <w:bCs/>
                <w:color w:val="FFFFFF"/>
                <w:sz w:val="19"/>
                <w:szCs w:val="19"/>
              </w:rPr>
              <w:t xml:space="preserve">Por qué se eligió</w:t>
            </w:r>
          </w:p>
        </w:tc>
      </w:tr>
      <w:tr>
        <w:tc>
          <w:tcPr>
            <w:tcW w:type="dxa" w:w="17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Carousel</w:t>
            </w:r>
          </w:p>
        </w:tc>
        <w:tc>
          <w:tcPr>
            <w:tcW w:type="dxa" w:w="26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Portada (“Encontrá tu mejor estilo”) y galería de Producto</w:t>
            </w:r>
          </w:p>
        </w:tc>
        <w:tc>
          <w:tcPr>
            <w:tcW w:type="dxa" w:w="25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Recorre imágenes por categoría en portada, y las 4 fotos de un mismo producto en la ficha</w:t>
            </w:r>
          </w:p>
        </w:tc>
        <w:tc>
          <w:tcPr>
            <w:tcW w:type="dxa" w:w="2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Mismo componente, dos usos reales: comparar opciones (portada) y ver detalle de una sola prenda (producto)</w:t>
            </w:r>
          </w:p>
        </w:tc>
      </w:tr>
      <w:tr>
        <w:tc>
          <w:tcPr>
            <w:tcW w:type="dxa" w:w="17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Offcanvas</w:t>
            </w:r>
          </w:p>
        </w:tc>
        <w:tc>
          <w:tcPr>
            <w:tcW w:type="dxa" w:w="26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Header — menú mobile (las 4 páginas)</w:t>
            </w:r>
          </w:p>
        </w:tc>
        <w:tc>
          <w:tcPr>
            <w:tcW w:type="dxa" w:w="25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Reemplaza el menú horizontal por un panel deslizante en pantallas &lt; 992px</w:t>
            </w:r>
          </w:p>
        </w:tc>
        <w:tc>
          <w:tcPr>
            <w:tcW w:type="dxa" w:w="2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Solución nativa y accesible de Bootstrap 5 para el ícono de hamburguesa del wireframe mobile</w:t>
            </w:r>
          </w:p>
        </w:tc>
      </w:tr>
      <w:tr>
        <w:tc>
          <w:tcPr>
            <w:tcW w:type="dxa" w:w="17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Accordion</w:t>
            </w:r>
          </w:p>
        </w:tc>
        <w:tc>
          <w:tcPr>
            <w:tcW w:type="dxa" w:w="26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Contacto — sidebar, “Horarios” y “Ubicación”</w:t>
            </w:r>
          </w:p>
        </w:tc>
        <w:tc>
          <w:tcPr>
            <w:tcW w:type="dxa" w:w="25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Oculta/muestra información secundaria</w:t>
            </w:r>
          </w:p>
        </w:tc>
        <w:tc>
          <w:tcPr>
            <w:tcW w:type="dxa" w:w="2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Reduce el largo de la página, sobre todo en mobile</w:t>
            </w:r>
          </w:p>
        </w:tc>
      </w:tr>
      <w:tr>
        <w:tc>
          <w:tcPr>
            <w:tcW w:type="dxa" w:w="17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Toast</w:t>
            </w:r>
          </w:p>
        </w:tc>
        <w:tc>
          <w:tcPr>
            <w:tcW w:type="dxa" w:w="26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Contacto (envío de formulario) y Producto (añadir al carrito)</w:t>
            </w:r>
          </w:p>
        </w:tc>
        <w:tc>
          <w:tcPr>
            <w:tcW w:type="dxa" w:w="25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Notificación no bloqueante de confirmación</w:t>
            </w:r>
          </w:p>
        </w:tc>
        <w:tc>
          <w:tcPr>
            <w:tcW w:type="dxa" w:w="2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Al no haber backend real, comunica el resultado de la acción sin interrumpir con un alert()</w:t>
            </w:r>
          </w:p>
        </w:tc>
      </w:tr>
      <w:tr>
        <w:tc>
          <w:tcPr>
            <w:tcW w:type="dxa" w:w="17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Tooltip</w:t>
            </w:r>
          </w:p>
        </w:tc>
        <w:tc>
          <w:tcPr>
            <w:tcW w:type="dxa" w:w="26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Header — ícono de carrito (las 4 páginas)</w:t>
            </w:r>
          </w:p>
        </w:tc>
        <w:tc>
          <w:tcPr>
            <w:tcW w:type="dxa" w:w="25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Aclara la función del ícono al pasar el mouse o enfocar con teclado</w:t>
            </w:r>
          </w:p>
        </w:tc>
        <w:tc>
          <w:tcPr>
            <w:tcW w:type="dxa" w:w="2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Bootstrap 5 exige inicialización manual; refuerza la accesibilidad de un ícono sin texto visible</w:t>
            </w:r>
          </w:p>
        </w:tc>
      </w:tr>
    </w:tbl>
    <w:p>
      <w:pPr>
        <w:pStyle w:val="Heading1"/>
      </w:pPr>
      <w:r>
        <w:t xml:space="preserve">5. JavaScript propio y captura de eventos</w:t>
      </w:r>
    </w:p>
    <w:p>
      <w:pPr>
        <w:spacing w:after="160"/>
      </w:pPr>
      <w:r>
        <w:rPr>
          <w:sz w:val="22"/>
          <w:szCs w:val="22"/>
        </w:rPr>
        <w:t xml:space="preserve">Además de los componentes de Bootstrap, se programó JavaScript propio (js/main.js) para capturar eventos del DOM.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c>
          <w:tcPr>
            <w:tcW w:type="dxa" w:w="2200"/>
            <w:tcBorders>
              <w:top w:val="single" w:color="B9C0CC" w:sz="2"/>
              <w:left w:val="single" w:color="B9C0CC" w:sz="2"/>
              <w:bottom w:val="single" w:color="B9C0CC" w:sz="2"/>
              <w:right w:val="single" w:color="B9C0CC" w:sz="2"/>
            </w:tcBorders>
            <w:shd w:fill="16263C" w:val="clear"/>
            <w:tcMar>
              <w:top w:type="dxa" w:w="100"/>
              <w:left w:type="dxa" w:w="120"/>
              <w:bottom w:type="dxa" w:w="100"/>
              <w:right w:type="dxa" w:w="120"/>
            </w:tcMar>
          </w:tcPr>
          <w:p>
            <w:r>
              <w:rPr>
                <w:b/>
                <w:bCs/>
                <w:color w:val="FFFFFF"/>
                <w:sz w:val="19"/>
                <w:szCs w:val="19"/>
              </w:rPr>
              <w:t xml:space="preserve">Evento</w:t>
            </w:r>
          </w:p>
        </w:tc>
        <w:tc>
          <w:tcPr>
            <w:tcW w:type="dxa" w:w="2800"/>
            <w:tcBorders>
              <w:top w:val="single" w:color="B9C0CC" w:sz="2"/>
              <w:left w:val="single" w:color="B9C0CC" w:sz="2"/>
              <w:bottom w:val="single" w:color="B9C0CC" w:sz="2"/>
              <w:right w:val="single" w:color="B9C0CC" w:sz="2"/>
            </w:tcBorders>
            <w:shd w:fill="16263C" w:val="clear"/>
            <w:tcMar>
              <w:top w:type="dxa" w:w="100"/>
              <w:left w:type="dxa" w:w="120"/>
              <w:bottom w:type="dxa" w:w="100"/>
              <w:right w:type="dxa" w:w="120"/>
            </w:tcMar>
          </w:tcPr>
          <w:p>
            <w:r>
              <w:rPr>
                <w:b/>
                <w:bCs/>
                <w:color w:val="FFFFFF"/>
                <w:sz w:val="19"/>
                <w:szCs w:val="19"/>
              </w:rPr>
              <w:t xml:space="preserve">Elemento</w:t>
            </w:r>
          </w:p>
        </w:tc>
        <w:tc>
          <w:tcPr>
            <w:tcW w:type="dxa" w:w="4638"/>
            <w:tcBorders>
              <w:top w:val="single" w:color="B9C0CC" w:sz="2"/>
              <w:left w:val="single" w:color="B9C0CC" w:sz="2"/>
              <w:bottom w:val="single" w:color="B9C0CC" w:sz="2"/>
              <w:right w:val="single" w:color="B9C0CC" w:sz="2"/>
            </w:tcBorders>
            <w:shd w:fill="16263C" w:val="clear"/>
            <w:tcMar>
              <w:top w:type="dxa" w:w="100"/>
              <w:left w:type="dxa" w:w="120"/>
              <w:bottom w:type="dxa" w:w="100"/>
              <w:right w:type="dxa" w:w="120"/>
            </w:tcMar>
          </w:tcPr>
          <w:p>
            <w:r>
              <w:rPr>
                <w:b/>
                <w:bCs/>
                <w:color w:val="FFFFFF"/>
                <w:sz w:val="19"/>
                <w:szCs w:val="19"/>
              </w:rPr>
              <w:t xml:space="preserve">Qué hace</w:t>
            </w:r>
          </w:p>
        </w:tc>
      </w:tr>
      <w:tr>
        <w:tc>
          <w:tcPr>
            <w:tcW w:type="dxa" w:w="22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scroll (window)</w:t>
            </w:r>
          </w:p>
        </w:tc>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Navbar y botón “volver arriba” (4 páginas)</w:t>
            </w:r>
          </w:p>
        </w:tc>
        <w:tc>
          <w:tcPr>
            <w:tcW w:type="dxa" w:w="46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Agrega sombra al navbar y muestra/oculta el botón de volver arriba pasado un umbral de scroll</w:t>
            </w:r>
          </w:p>
        </w:tc>
      </w:tr>
      <w:tr>
        <w:tc>
          <w:tcPr>
            <w:tcW w:type="dxa" w:w="22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input / blur</w:t>
            </w:r>
          </w:p>
        </w:tc>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Campos del formulario de contacto</w:t>
            </w:r>
          </w:p>
        </w:tc>
        <w:tc>
          <w:tcPr>
            <w:tcW w:type="dxa" w:w="46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Valida cada campo en vivo antes de intentar enviar</w:t>
            </w:r>
          </w:p>
        </w:tc>
      </w:tr>
      <w:tr>
        <w:tc>
          <w:tcPr>
            <w:tcW w:type="dxa" w:w="22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submit</w:t>
            </w:r>
          </w:p>
        </w:tc>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Formulario de contacto</w:t>
            </w:r>
          </w:p>
        </w:tc>
        <w:tc>
          <w:tcPr>
            <w:tcW w:type="dxa" w:w="46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Previene el envío real, valida todos los campos y dispara el Toast de confirmación</w:t>
            </w:r>
          </w:p>
        </w:tc>
      </w:tr>
      <w:tr>
        <w:tc>
          <w:tcPr>
            <w:tcW w:type="dxa" w:w="22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change</w:t>
            </w:r>
          </w:p>
        </w:tc>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Radios “Canales” / “Tipo de consulta” (Contacto)</w:t>
            </w:r>
          </w:p>
        </w:tc>
        <w:tc>
          <w:tcPr>
            <w:tcW w:type="dxa" w:w="46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Actualiza un resumen de texto visible sin recargar la página</w:t>
            </w:r>
          </w:p>
        </w:tc>
      </w:tr>
      <w:tr>
        <w:tc>
          <w:tcPr>
            <w:tcW w:type="dxa" w:w="22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change / input</w:t>
            </w:r>
          </w:p>
        </w:tc>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Checkboxes de categoría/disponibilidad/color y buscador (Catálogo)</w:t>
            </w:r>
          </w:p>
        </w:tc>
        <w:tc>
          <w:tcPr>
            <w:tcW w:type="dxa" w:w="46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Filtra en vivo las tarjetas visibles del catálogo combinando todos los criterios activos y actualiza el contador de resultados — filtrado real, no decorativo</w:t>
            </w:r>
          </w:p>
        </w:tc>
      </w:tr>
      <w:tr>
        <w:tc>
          <w:tcPr>
            <w:tcW w:type="dxa" w:w="22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click / slid.bs.carousel</w:t>
            </w:r>
          </w:p>
        </w:tc>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Miniaturas de la galería (Producto)</w:t>
            </w:r>
          </w:p>
        </w:tc>
        <w:tc>
          <w:tcPr>
            <w:tcW w:type="dxa" w:w="46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Al hacer clic en una miniatura cambia la imagen grande; se escucha el evento propio del Carousel para resaltar qué miniatura está activa</w:t>
            </w:r>
          </w:p>
        </w:tc>
      </w:tr>
      <w:tr>
        <w:tc>
          <w:tcPr>
            <w:tcW w:type="dxa" w:w="22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click</w:t>
            </w:r>
          </w:p>
        </w:tc>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Botón “Añadir al carrito” (Producto)</w:t>
            </w:r>
          </w:p>
        </w:tc>
        <w:tc>
          <w:tcPr>
            <w:tcW w:type="dxa" w:w="46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Toma el talle seleccionado y muestra el Toast de confirmación con ese dato</w:t>
            </w:r>
          </w:p>
        </w:tc>
      </w:tr>
      <w:tr>
        <w:tc>
          <w:tcPr>
            <w:tcW w:type="dxa" w:w="22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shown/hidden.bs.offcanvas</w:t>
            </w:r>
          </w:p>
        </w:tc>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Botón hamburguesa (4 páginas)</w:t>
            </w:r>
          </w:p>
        </w:tc>
        <w:tc>
          <w:tcPr>
            <w:tcW w:type="dxa" w:w="46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Sincroniza el ícono y aria-expanded con el estado real del menú mobile</w:t>
            </w:r>
          </w:p>
        </w:tc>
      </w:tr>
    </w:tbl>
    <w:p>
      <w:pPr>
        <w:spacing w:after="160"/>
      </w:pPr>
      <w:r>
        <w:rPr>
          <w:sz w:val="22"/>
          <w:szCs w:val="22"/>
        </w:rPr>
        <w:t xml:space="preserve"> </w:t>
      </w:r>
    </w:p>
    <w:p>
      <w:pPr>
        <w:spacing w:after="160"/>
      </w:pPr>
      <w:r>
        <w:rPr>
          <w:sz w:val="22"/>
          <w:szCs w:val="22"/>
        </w:rPr>
        <w:t xml:space="preserve">Criterio de diseño: cada evento resuelve un problema real de usabilidad (validar antes de enviar, filtrar productos, confirmar una acción, orientar la consulta) en lugar de agregarse únicamente para cumplir el requisito del TP. El filtrado del catálogo en particular combina checkboxes de tres grupos distintos más texto libre, todo sin recargar la página ni depender de backend.</w:t>
      </w:r>
    </w:p>
    <w:p>
      <w:pPr>
        <w:pStyle w:val="Heading1"/>
      </w:pPr>
      <w:r>
        <w:t xml:space="preserve">6. Personalización de Bootstrap mediante Sass</w:t>
      </w:r>
    </w:p>
    <w:p>
      <w:pPr>
        <w:spacing w:after="160"/>
      </w:pPr>
      <w:r>
        <w:rPr>
          <w:sz w:val="22"/>
          <w:szCs w:val="22"/>
        </w:rPr>
        <w:t xml:space="preserve">Ubicación: scss/_variables.scss (variables de marca) + scss/_custom.scss (componentes propios) + scss/styles.scss (punto de entrada).</w:t>
      </w:r>
    </w:p>
    <w:p>
      <w:pPr>
        <w:pStyle w:val="ListParagraph"/>
        <w:numPr>
          <w:ilvl w:val="0"/>
          <w:numId w:val="2"/>
        </w:numPr>
        <w:spacing w:after="80"/>
      </w:pPr>
      <w:r>
        <w:rPr>
          <w:sz w:val="22"/>
          <w:szCs w:val="22"/>
        </w:rPr>
        <w:t xml:space="preserve">Paleta de color: $primary, $secondary, $dark, $body-bg mapeados a la paleta de marca del TP1 (navy #0d1b2e, rojo #8a1f1f).</w:t>
      </w:r>
    </w:p>
    <w:p>
      <w:pPr>
        <w:pStyle w:val="ListParagraph"/>
        <w:numPr>
          <w:ilvl w:val="0"/>
          <w:numId w:val="2"/>
        </w:numPr>
        <w:spacing w:after="80"/>
      </w:pPr>
      <w:r>
        <w:rPr>
          <w:sz w:val="22"/>
          <w:szCs w:val="22"/>
        </w:rPr>
        <w:t xml:space="preserve">Tipografía: $font-family-serif (Cormorant Garamond) para títulos, $font-family-sans (Montserrat) para el resto.</w:t>
      </w:r>
    </w:p>
    <w:p>
      <w:pPr>
        <w:pStyle w:val="ListParagraph"/>
        <w:numPr>
          <w:ilvl w:val="0"/>
          <w:numId w:val="2"/>
        </w:numPr>
        <w:spacing w:after="80"/>
      </w:pPr>
      <w:r>
        <w:rPr>
          <w:sz w:val="22"/>
          <w:szCs w:val="22"/>
        </w:rPr>
        <w:t xml:space="preserve">Forma: $border-radius en 0 en todos los componentes, para la estética recta de sastrería formal del mockup.</w:t>
      </w:r>
    </w:p>
    <w:p>
      <w:pPr>
        <w:pStyle w:val="ListParagraph"/>
        <w:numPr>
          <w:ilvl w:val="0"/>
          <w:numId w:val="2"/>
        </w:numPr>
        <w:spacing w:after="80"/>
      </w:pPr>
      <w:r>
        <w:rPr>
          <w:sz w:val="22"/>
          <w:szCs w:val="22"/>
        </w:rPr>
        <w:t xml:space="preserve">Componentes propios nuevos en esta entrega: .ts-product-figure (encuadre uniforme de las ilustraciones de producto) y .ts-thumb (miniatura activa de la galería, sincronizada por JS).</w:t>
      </w:r>
    </w:p>
    <w:p>
      <w:pPr>
        <w:pStyle w:val="ListParagraph"/>
        <w:numPr>
          <w:ilvl w:val="0"/>
          <w:numId w:val="2"/>
        </w:numPr>
        <w:spacing w:after="80"/>
      </w:pPr>
      <w:r>
        <w:rPr>
          <w:sz w:val="22"/>
          <w:szCs w:val="22"/>
        </w:rPr>
        <w:t xml:space="preserve">Se agregó el módulo pagination de Bootstrap (no estaba importado en la primera entrega) para que la paginación del Catálogo se vea como controles reales y no como una lista con viñetas.</w:t>
      </w:r>
    </w:p>
    <w:p>
      <w:pPr>
        <w:spacing w:after="160"/>
      </w:pPr>
      <w:r>
        <w:rPr>
          <w:sz w:val="22"/>
          <w:szCs w:val="22"/>
        </w:rPr>
        <w:t xml:space="preserve">Se eligió recompilar Bootstrap en vez de sobrescribir clases con CSS suelto porque las variables de marca se propagan automáticamente a todos los componentes sin repetir el ajuste en cada selector.</w:t>
      </w:r>
    </w:p>
    <w:p>
      <w:pPr>
        <w:pStyle w:val="Heading1"/>
      </w:pPr>
      <w:r>
        <w:t xml:space="preserve">7. Publicación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b/>
                <w:bCs/>
                <w:sz w:val="19"/>
                <w:szCs w:val="19"/>
              </w:rPr>
              <w:t xml:space="preserve">URL del proyecto publicado</w:t>
            </w:r>
          </w:p>
        </w:tc>
        <w:tc>
          <w:tcPr>
            <w:tcW w:type="dxa" w:w="6838"/>
            <w:tcBorders>
              <w:top w:val="single" w:color="B9C0CC" w:sz="2"/>
              <w:left w:val="single" w:color="B9C0CC" w:sz="2"/>
              <w:bottom w:val="single" w:color="B9C0CC" w:sz="2"/>
              <w:right w:val="single" w:color="B9C0CC" w:sz="2"/>
            </w:tcBorders>
            <w:tcMar>
              <w:top w:type="dxa" w:w="100"/>
              <w:left w:type="dxa" w:w="120"/>
              <w:bottom w:type="dxa" w:w="100"/>
              <w:right w:type="dxa" w:w="120"/>
            </w:tcMar>
          </w:tcPr>
          <w:p>
            <w:hyperlink w:history="1" r:id="rIdrk9pfnl7mvj-skcqpiguh">
              <w:r>
                <w:rPr>
                  <w:color w:val="8A1F1F"/>
                  <w:sz w:val="19"/>
                  <w:szCs w:val="19"/>
                  <w:u w:val="single"/>
                </w:rPr>
                <w:t xml:space="preserve">https://nicolasortega1993.github.io/this-suits/</w:t>
              </w:r>
            </w:hyperlink>
          </w:p>
        </w:tc>
      </w:tr>
      <w:tr>
        <w:tc>
          <w:tcPr>
            <w:tcW w:type="dxa" w:w="2800"/>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b/>
                <w:bCs/>
                <w:sz w:val="19"/>
                <w:szCs w:val="19"/>
              </w:rPr>
              <w:t xml:space="preserve">Repositorio / hosting elegido</w:t>
            </w:r>
          </w:p>
        </w:tc>
        <w:tc>
          <w:tcPr>
            <w:tcW w:type="dxa" w:w="6838"/>
            <w:tcBorders>
              <w:top w:val="single" w:color="B9C0CC" w:sz="2"/>
              <w:left w:val="single" w:color="B9C0CC" w:sz="2"/>
              <w:bottom w:val="single" w:color="B9C0CC" w:sz="2"/>
              <w:right w:val="single" w:color="B9C0CC" w:sz="2"/>
            </w:tcBorders>
            <w:tcMar>
              <w:top w:type="dxa" w:w="100"/>
              <w:left w:type="dxa" w:w="120"/>
              <w:bottom w:type="dxa" w:w="100"/>
              <w:right w:type="dxa" w:w="120"/>
            </w:tcMar>
          </w:tcPr>
          <w:p>
            <w:r>
              <w:rPr>
                <w:sz w:val="19"/>
                <w:szCs w:val="19"/>
              </w:rPr>
              <w:t xml:space="preserve">GitHub + GitHub Pages</w:t>
            </w:r>
          </w:p>
        </w:tc>
      </w:tr>
    </w:tbl>
    <w:p>
      <w:pPr>
        <w:spacing w:after="160"/>
      </w:pPr>
      <w:r>
        <w:rPr>
          <w:sz w:val="22"/>
          <w:szCs w:val="22"/>
        </w:rPr>
        <w:t xml:space="preserve"> </w:t>
      </w:r>
    </w:p>
    <w:p>
      <w:pPr>
        <w:spacing w:after="160"/>
      </w:pPr>
      <w:r>
        <w:rPr>
          <w:sz w:val="22"/>
          <w:szCs w:val="22"/>
        </w:rPr>
        <w:t xml:space="preserve">Justificación de la elección: el sitio es 100% estático (HTML/CSS/JS sin backend), por lo que no requiere un servidor con lenguaje de back-end ni base de datos. GitHub Pages permite publicar directamente desde un repositorio Git con HTTPS automático y sin costo, y el control de versiones con Git ya se usa en la cursada, por lo que no agrega una herramienta nueva al flujo de trabajo.</w:t>
      </w:r>
    </w:p>
    <w:p>
      <w:pPr>
        <w:pStyle w:val="Heading1"/>
      </w:pPr>
      <w:r>
        <w:t xml:space="preserve">8. Imágenes e ilustraciones</w:t>
      </w:r>
    </w:p>
    <w:p>
      <w:pPr>
        <w:spacing w:after="160"/>
      </w:pPr>
      <w:r>
        <w:rPr>
          <w:sz w:val="22"/>
          <w:szCs w:val="22"/>
        </w:rPr>
        <w:t xml:space="preserve">Las imágenes de producto son ilustraciones vectoriales (SVG) propias, no fotografías. Se optó por este camino por una razón concreta: el sitio se publica públicamente, y usar fotografías de stock de terceros —incluso bajo licencias “gratuitas”— implica un riesgo de derechos de autor que no se puede verificar con certeza para una entrega académica. Las ilustraciones, al ser 100% originales, no tienen ese problema.</w:t>
      </w:r>
    </w:p>
    <w:p>
      <w:pPr>
        <w:pStyle w:val="ListParagraph"/>
        <w:numPr>
          <w:ilvl w:val="0"/>
          <w:numId w:val="2"/>
        </w:numPr>
        <w:spacing w:after="80"/>
      </w:pPr>
      <w:r>
        <w:rPr>
          <w:sz w:val="22"/>
          <w:szCs w:val="22"/>
        </w:rPr>
        <w:t xml:space="preserve">img/productos/*.svg: 8 ilustraciones de prenda (una por producto del catálogo), generadas con un mismo patrón visual paramétrico (color de saco, tipo de accesorio — corbata o moño —, y chaleco visible en los trajes de tres piezas) para mantener consistencia entre todas.</w:t>
      </w:r>
    </w:p>
    <w:p>
      <w:pPr>
        <w:pStyle w:val="ListParagraph"/>
        <w:numPr>
          <w:ilvl w:val="0"/>
          <w:numId w:val="2"/>
        </w:numPr>
        <w:spacing w:after="80"/>
      </w:pPr>
      <w:r>
        <w:rPr>
          <w:sz w:val="22"/>
          <w:szCs w:val="22"/>
        </w:rPr>
        <w:t xml:space="preserve">img/productos/detalle-tela-*.svg, detalle-solapa-*.svg, look-completo-*.svg: imágenes adicionales para la galería de la ficha de producto, simulando distintos planos de una sesión de fotos (tela, detalle de solapa, cuerpo completo).</w:t>
      </w:r>
    </w:p>
    <w:p>
      <w:pPr>
        <w:pStyle w:val="ListParagraph"/>
        <w:numPr>
          <w:ilvl w:val="0"/>
          <w:numId w:val="2"/>
        </w:numPr>
        <w:spacing w:after="80"/>
      </w:pPr>
      <w:r>
        <w:rPr>
          <w:sz w:val="22"/>
          <w:szCs w:val="22"/>
        </w:rPr>
        <w:t xml:space="preserve">img/productos/traje-en-percha.svg: ilustración usada en los banners de alquiler de Portada y Catálogo.</w:t>
      </w:r>
    </w:p>
    <w:p>
      <w:pPr>
        <w:spacing w:after="160"/>
      </w:pPr>
      <w:r>
        <w:rPr>
          <w:sz w:val="22"/>
          <w:szCs w:val="22"/>
        </w:rPr>
        <w:t xml:space="preserve">Todas las imágenes incluyen atributo alt descriptivo (ver detalle en el informe SEO).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C8AA3"/>
        <w:sz w:val="16"/>
        <w:szCs w:val="16"/>
      </w:rPr>
      <w:t xml:space="preserve">Página </w:t>
    </w:r>
    <w:r>
      <w:rPr>
        <w:color w:val="7C8AA3"/>
        <w:sz w:val="16"/>
        <w:szCs w:val="16"/>
      </w:rPr>
      <w:fldChar w:fldCharType="begin"/>
      <w:instrText xml:space="preserve">PAGE</w:instrText>
      <w:fldChar w:fldCharType="separate"/>
      <w:fldChar w:fldCharType="end"/>
    </w:r>
    <w:r>
      <w:rPr>
        <w:color w:val="7C8AA3"/>
        <w:sz w:val="16"/>
        <w:szCs w:val="16"/>
      </w:rPr>
      <w:t xml:space="preserve"> de </w:t>
    </w:r>
    <w:r>
      <w:rPr>
        <w:color w:val="7C8A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C8AA3"/>
        <w:sz w:val="16"/>
        <w:szCs w:val="16"/>
      </w:rPr>
      <w:t xml:space="preserve">This Suits — Informe Técnico Web (TP2)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263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ngu_mq_qlwq1go3botrc" Type="http://schemas.openxmlformats.org/officeDocument/2006/relationships/hyperlink" Target="https://nicolasortega1993.github.io/this-suits/" TargetMode="External"/><Relationship Id="rIdtyeodwa3mbe0o1zvcidnp" Type="http://schemas.openxmlformats.org/officeDocument/2006/relationships/hyperlink" Target="https://nicolasortega1993.github.io/this-suits/" TargetMode="External"/><Relationship Id="rIdrk9pfnl7mvj-skcqpiguh" Type="http://schemas.openxmlformats.org/officeDocument/2006/relationships/hyperlink" Target="https://nicolasortega1993.github.io/this-sui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2026-06-27T13:49:37.819Z</dcterms:created>
  <dcterms:modified xsi:type="dcterms:W3CDTF">2026-06-27T13:49:37.819Z</dcterms:modified>
</cp:coreProperties>
</file>

<file path=docProps/custom.xml><?xml version="1.0" encoding="utf-8"?>
<Properties xmlns="http://schemas.openxmlformats.org/officeDocument/2006/custom-properties" xmlns:vt="http://schemas.openxmlformats.org/officeDocument/2006/docPropsVTypes"/>
</file>