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60"/>
      </w:pPr>
      <w:r>
        <w:rPr>
          <w:rFonts w:ascii="Arial" w:cs="Arial" w:eastAsia="Arial" w:hAnsi="Arial"/>
          <w:b/>
          <w:bCs/>
          <w:color w:val="1A1A2E"/>
          <w:sz w:val="60"/>
          <w:szCs w:val="60"/>
        </w:rPr>
        <w:t xml:space="preserve">Rule Engine Specification</w:t>
      </w:r>
    </w:p>
    <w:p>
      <w:pPr>
        <w:spacing w:before="0" w:after="80"/>
      </w:pPr>
      <w:r>
        <w:rPr>
          <w:rFonts w:ascii="Arial" w:cs="Arial" w:eastAsia="Arial" w:hAnsi="Arial"/>
          <w:color w:val="404060"/>
          <w:sz w:val="28"/>
          <w:szCs w:val="28"/>
        </w:rPr>
        <w:t xml:space="preserve">Invoice Checker — Section 7 Expanded</w:t>
      </w:r>
    </w:p>
    <w:p>
      <w:pPr>
        <w:spacing w:before="0" w:after="80"/>
      </w:pPr>
      <w:r>
        <w:rPr>
          <w:rFonts w:ascii="Arial" w:cs="Arial" w:eastAsia="Arial" w:hAnsi="Arial"/>
          <w:color w:val="404060"/>
          <w:sz w:val="20"/>
          <w:szCs w:val="20"/>
        </w:rPr>
        <w:t xml:space="preserve">Version 1.0  |  March 2026  |  Arcturus Financial Group S.A.</w:t>
      </w:r>
    </w:p>
    <w:p>
      <w:pPr>
        <w:pBdr>
          <w:bottom w:val="single" w:color="1A1A2E" w:sz="8"/>
        </w:pBdr>
        <w:spacing w:before="200" w:after="400"/>
      </w:pPr>
      <w:r>
        <w:t xml:space="preserve"/>
      </w:r>
    </w:p>
    <w:p>
      <w:pPr>
        <w:pStyle w:val="Heading1"/>
        <w:spacing w:before="400" w:after="140"/>
      </w:pPr>
      <w:r>
        <w:rPr>
          <w:rFonts w:ascii="Arial" w:cs="Arial" w:eastAsia="Arial" w:hAnsi="Arial"/>
          <w:b/>
          <w:bCs/>
          <w:color w:val="1A1A2E"/>
          <w:sz w:val="30"/>
          <w:szCs w:val="30"/>
        </w:rPr>
        <w:t xml:space="preserve">Overview</w:t>
      </w:r>
    </w:p>
    <w:p>
      <w:pPr>
        <w:spacing w:before="60" w:after="60"/>
      </w:pPr>
      <w:r>
        <w:rPr>
          <w:rFonts w:ascii="Arial" w:cs="Arial" w:eastAsia="Arial" w:hAnsi="Arial"/>
          <w:b w:val="false"/>
          <w:bCs w:val="false"/>
          <w:i w:val="false"/>
          <w:iCs w:val="false"/>
          <w:color w:val="1A1A2E"/>
          <w:sz w:val="20"/>
          <w:szCs w:val="20"/>
        </w:rPr>
        <w:t xml:space="preserve">This document specifies every rule in the Invoice Checker rule engine. It is the authoritative implementation reference for the development team. Each rule entry contains the full technical specification required to build, test, and maintain the rule without ambiguity.</w:t>
      </w:r>
    </w:p>
    <w:p>
      <w:pPr>
        <w:spacing w:before="60" w:after="60"/>
      </w:pPr>
      <w:r>
        <w:t xml:space="preserve"/>
      </w:r>
    </w:p>
    <w:p>
      <w:pPr>
        <w:spacing w:before="60" w:after="60"/>
      </w:pPr>
      <w:r>
        <w:rPr>
          <w:rFonts w:ascii="Arial" w:cs="Arial" w:eastAsia="Arial" w:hAnsi="Arial"/>
          <w:b w:val="false"/>
          <w:bCs w:val="false"/>
          <w:i w:val="false"/>
          <w:iCs w:val="false"/>
          <w:color w:val="1A1A2E"/>
          <w:sz w:val="20"/>
          <w:szCs w:val="20"/>
        </w:rPr>
        <w:t xml:space="preserve">Rules are organised into four categories:</w:t>
      </w:r>
    </w:p>
    <w:p>
      <w:pPr>
        <w:pStyle w:val="ListParagraph"/>
        <w:numPr>
          <w:ilvl w:val="0"/>
          <w:numId w:val="2"/>
        </w:numPr>
        <w:spacing w:before="36" w:after="36"/>
      </w:pPr>
      <w:r>
        <w:rPr>
          <w:rFonts w:ascii="Arial" w:cs="Arial" w:eastAsia="Arial" w:hAnsi="Arial"/>
          <w:color w:val="1A1A2E"/>
          <w:sz w:val="18"/>
          <w:szCs w:val="18"/>
        </w:rPr>
        <w:t xml:space="preserve">Objective rules (17): deterministic, fired when a verifiable comparison can be made</w:t>
      </w:r>
    </w:p>
    <w:p>
      <w:pPr>
        <w:pStyle w:val="ListParagraph"/>
        <w:numPr>
          <w:ilvl w:val="0"/>
          <w:numId w:val="2"/>
        </w:numPr>
        <w:spacing w:before="36" w:after="36"/>
      </w:pPr>
      <w:r>
        <w:rPr>
          <w:rFonts w:ascii="Arial" w:cs="Arial" w:eastAsia="Arial" w:hAnsi="Arial"/>
          <w:color w:val="1A1A2E"/>
          <w:sz w:val="18"/>
          <w:szCs w:val="18"/>
        </w:rPr>
        <w:t xml:space="preserve">Grey rules (7): heuristic, require AI evaluation and human review</w:t>
      </w:r>
    </w:p>
    <w:p>
      <w:pPr>
        <w:pStyle w:val="ListParagraph"/>
        <w:numPr>
          <w:ilvl w:val="0"/>
          <w:numId w:val="2"/>
        </w:numPr>
        <w:spacing w:before="36" w:after="36"/>
      </w:pPr>
      <w:r>
        <w:rPr>
          <w:rFonts w:ascii="Arial" w:cs="Arial" w:eastAsia="Arial" w:hAnsi="Arial"/>
          <w:color w:val="1A1A2E"/>
          <w:sz w:val="18"/>
          <w:szCs w:val="18"/>
        </w:rPr>
        <w:t xml:space="preserve">Configurable rule (1): deterministic with an adjustable threshold</w:t>
      </w:r>
    </w:p>
    <w:p>
      <w:pPr>
        <w:pStyle w:val="ListParagraph"/>
        <w:numPr>
          <w:ilvl w:val="0"/>
          <w:numId w:val="2"/>
        </w:numPr>
        <w:spacing w:before="36" w:after="36"/>
      </w:pPr>
      <w:r>
        <w:rPr>
          <w:rFonts w:ascii="Arial" w:cs="Arial" w:eastAsia="Arial" w:hAnsi="Arial"/>
          <w:color w:val="1A1A2E"/>
          <w:sz w:val="18"/>
          <w:szCs w:val="18"/>
        </w:rPr>
        <w:t xml:space="preserve">Metadata warnings (2): system-level signals about data completeness</w:t>
      </w:r>
    </w:p>
    <w:p>
      <w:pPr>
        <w:spacing w:before="60" w:after="60"/>
      </w:pPr>
      <w:r>
        <w:t xml:space="preserve"/>
      </w:r>
    </w:p>
    <w:p>
      <w:pPr>
        <w:spacing w:before="60" w:after="60"/>
      </w:pPr>
      <w:r>
        <w:rPr>
          <w:rFonts w:ascii="Arial" w:cs="Arial" w:eastAsia="Arial" w:hAnsi="Arial"/>
          <w:b/>
          <w:bCs/>
          <w:i w:val="false"/>
          <w:iCs w:val="false"/>
          <w:color w:val="1A1A2E"/>
          <w:sz w:val="20"/>
          <w:szCs w:val="20"/>
        </w:rPr>
        <w:t xml:space="preserve">Colour coding used in rule headers: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OBJECTIVE</w:t>
            </w:r>
          </w:p>
        </w:tc>
        <w:tc>
          <w:tcPr>
            <w:tcW w:type="dxa" w:w="1560"/>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GRAY</w:t>
            </w:r>
          </w:p>
        </w:tc>
        <w:tc>
          <w:tcPr>
            <w:tcW w:type="dxa" w:w="1560"/>
            <w:tcBorders>
              <w:top w:val="single" w:color="CCCCDD" w:sz="1"/>
              <w:left w:val="single" w:color="CCCCDD" w:sz="1"/>
              <w:bottom w:val="single" w:color="CCCCDD" w:sz="1"/>
              <w:right w:val="single" w:color="CCCCDD" w:sz="1"/>
            </w:tcBorders>
            <w:shd w:fill="CC2200"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ERROR</w:t>
            </w:r>
          </w:p>
        </w:tc>
        <w:tc>
          <w:tcPr>
            <w:tcW w:type="dxa" w:w="1560"/>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WARNING</w:t>
            </w:r>
          </w:p>
        </w:tc>
        <w:tc>
          <w:tcPr>
            <w:tcW w:type="dxa" w:w="1560"/>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deterministic</w:t>
            </w:r>
          </w:p>
        </w:tc>
        <w:tc>
          <w:tcPr>
            <w:tcW w:type="dxa" w:w="1560"/>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heuristic</w:t>
            </w:r>
          </w:p>
        </w:tc>
      </w:tr>
    </w:tbl>
    <w:p>
      <w:pPr>
        <w:spacing w:before="60" w:after="60"/>
      </w:pPr>
      <w:r>
        <w:t xml:space="preserve"/>
      </w:r>
    </w:p>
    <w:p>
      <w:pPr>
        <w:pStyle w:val="Heading1"/>
        <w:spacing w:before="400" w:after="140"/>
      </w:pPr>
      <w:r>
        <w:rPr>
          <w:rFonts w:ascii="Arial" w:cs="Arial" w:eastAsia="Arial" w:hAnsi="Arial"/>
          <w:b/>
          <w:bCs/>
          <w:color w:val="1A1A2E"/>
          <w:sz w:val="30"/>
          <w:szCs w:val="30"/>
        </w:rPr>
        <w:t xml:space="preserve">Role Normalisation</w:t>
      </w:r>
    </w:p>
    <w:p>
      <w:pPr>
        <w:spacing w:before="60" w:after="60"/>
      </w:pPr>
      <w:r>
        <w:rPr>
          <w:rFonts w:ascii="Arial" w:cs="Arial" w:eastAsia="Arial" w:hAnsi="Arial"/>
          <w:b w:val="false"/>
          <w:bCs w:val="false"/>
          <w:i w:val="false"/>
          <w:iCs w:val="false"/>
          <w:color w:val="1A1A2E"/>
          <w:sz w:val="20"/>
          <w:szCs w:val="20"/>
        </w:rPr>
        <w:t xml:space="preserve">Role normalisation is a prerequisite for any rule that compares against Panel Rates. The normaliser must map role_raw (as it appears on the invoice) to a role_code from the applicable Panel Rates or EL rate card.</w:t>
      </w:r>
    </w:p>
    <w:p>
      <w:pPr>
        <w:spacing w:before="60" w:after="60"/>
      </w:pPr>
      <w:r>
        <w:t xml:space="preserve"/>
      </w:r>
    </w:p>
    <w:p>
      <w:pPr>
        <w:spacing w:before="60" w:after="60"/>
      </w:pPr>
      <w:r>
        <w:rPr>
          <w:rFonts w:ascii="Arial" w:cs="Arial" w:eastAsia="Arial" w:hAnsi="Arial"/>
          <w:b/>
          <w:bCs/>
          <w:i w:val="false"/>
          <w:iCs w:val="false"/>
          <w:color w:val="1A1A2E"/>
          <w:sz w:val="20"/>
          <w:szCs w:val="20"/>
        </w:rPr>
        <w:t xml:space="preserve">Standard normalisation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Common invoice label (role_raw)</w:t>
            </w:r>
          </w:p>
        </w:tc>
        <w:tc>
          <w:tcPr>
            <w:tcW w:type="dxa" w:w="468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Normalised role_code</w:t>
            </w:r>
          </w:p>
        </w:tc>
      </w:tr>
      <w:tr>
        <w:tc>
          <w:tcPr>
            <w:tcW w:type="dxa" w:w="468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Partner</w:t>
            </w:r>
          </w:p>
        </w:tc>
        <w:tc>
          <w:tcPr>
            <w:tcW w:type="dxa" w:w="468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Partner</w:t>
            </w:r>
          </w:p>
        </w:tc>
      </w:tr>
      <w:tr>
        <w:tc>
          <w:tcPr>
            <w:tcW w:type="dxa" w:w="468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Senior Partner / Managing Partner</w:t>
            </w:r>
          </w:p>
        </w:tc>
        <w:tc>
          <w:tcPr>
            <w:tcW w:type="dxa" w:w="468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Senior Partner</w:t>
            </w:r>
          </w:p>
        </w:tc>
      </w:tr>
      <w:tr>
        <w:tc>
          <w:tcPr>
            <w:tcW w:type="dxa" w:w="468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Of Counsel / Counsel / Junior Partner</w:t>
            </w:r>
          </w:p>
        </w:tc>
        <w:tc>
          <w:tcPr>
            <w:tcW w:type="dxa" w:w="468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Counsel</w:t>
            </w:r>
          </w:p>
        </w:tc>
      </w:tr>
      <w:tr>
        <w:tc>
          <w:tcPr>
            <w:tcW w:type="dxa" w:w="468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Senior Associate</w:t>
            </w:r>
          </w:p>
        </w:tc>
        <w:tc>
          <w:tcPr>
            <w:tcW w:type="dxa" w:w="468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Senior Associate</w:t>
            </w:r>
          </w:p>
        </w:tc>
      </w:tr>
      <w:tr>
        <w:tc>
          <w:tcPr>
            <w:tcW w:type="dxa" w:w="468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Associate Xth year / Abogado Xº año</w:t>
            </w:r>
          </w:p>
        </w:tc>
        <w:tc>
          <w:tcPr>
            <w:tcW w:type="dxa" w:w="468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Associate Xth year</w:t>
            </w:r>
          </w:p>
        </w:tc>
      </w:tr>
      <w:tr>
        <w:tc>
          <w:tcPr>
            <w:tcW w:type="dxa" w:w="468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Legal Specialist / Specialist</w:t>
            </w:r>
          </w:p>
        </w:tc>
        <w:tc>
          <w:tcPr>
            <w:tcW w:type="dxa" w:w="468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Senior Associate (provisional — flag for review)</w:t>
            </w:r>
          </w:p>
        </w:tc>
      </w:tr>
      <w:tr>
        <w:tc>
          <w:tcPr>
            <w:tcW w:type="dxa" w:w="468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Legal Trainee / Trainee / Becario</w:t>
            </w:r>
          </w:p>
        </w:tc>
        <w:tc>
          <w:tcPr>
            <w:tcW w:type="dxa" w:w="468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Legal Trainee</w:t>
            </w:r>
          </w:p>
        </w:tc>
      </w:tr>
      <w:tr>
        <w:tc>
          <w:tcPr>
            <w:tcW w:type="dxa" w:w="468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Paralegal</w:t>
            </w:r>
          </w:p>
        </w:tc>
        <w:tc>
          <w:tcPr>
            <w:tcW w:type="dxa" w:w="468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Paralegal</w:t>
            </w:r>
          </w:p>
        </w:tc>
      </w:tr>
      <w:tr>
        <w:tc>
          <w:tcPr>
            <w:tcW w:type="dxa" w:w="468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Machine Translation / Software tool</w:t>
            </w:r>
          </w:p>
        </w:tc>
        <w:tc>
          <w:tcPr>
            <w:tcW w:type="dxa" w:w="468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Non-human — raise UNAUTHORIZED_EXPENSE_TYPE</w:t>
            </w:r>
          </w:p>
        </w:tc>
      </w:tr>
    </w:tbl>
    <w:p>
      <w:pPr>
        <w:spacing w:before="60" w:after="60"/>
      </w:pPr>
      <w:r>
        <w:t xml:space="preserve"/>
      </w:r>
    </w:p>
    <w:p>
      <w:pPr>
        <w:spacing w:before="60" w:after="60"/>
      </w:pPr>
      <w:r>
        <w:rPr>
          <w:rFonts w:ascii="Arial" w:cs="Arial" w:eastAsia="Arial" w:hAnsi="Arial"/>
          <w:b w:val="false"/>
          <w:bCs w:val="false"/>
          <w:i/>
          <w:iCs/>
          <w:color w:val="1A1A2E"/>
          <w:sz w:val="20"/>
          <w:szCs w:val="20"/>
        </w:rPr>
        <w:t xml:space="preserve">If no mapping is found, set role_normalized = null and fire LAWYER_ROLE_MISMATCH.</w:t>
      </w:r>
    </w:p>
    <w:p>
      <w:pPr>
        <w:spacing w:before="60" w:after="60"/>
      </w:pPr>
      <w:r>
        <w:t xml:space="preserve"/>
      </w:r>
    </w:p>
    <w:p>
      <w:r>
        <w:br w:type="page"/>
      </w:r>
    </w:p>
    <w:p>
      <w:pPr>
        <w:pStyle w:val="Heading1"/>
        <w:spacing w:before="400" w:after="140"/>
      </w:pPr>
      <w:r>
        <w:rPr>
          <w:rFonts w:ascii="Arial" w:cs="Arial" w:eastAsia="Arial" w:hAnsi="Arial"/>
          <w:b/>
          <w:bCs/>
          <w:color w:val="1A1A2E"/>
          <w:sz w:val="30"/>
          <w:szCs w:val="30"/>
        </w:rPr>
        <w:t xml:space="preserve">Objective Rules  (17)</w:t>
      </w:r>
    </w:p>
    <w:p>
      <w:pPr>
        <w:spacing w:before="60" w:after="60"/>
      </w:pPr>
      <w:r>
        <w:rPr>
          <w:rFonts w:ascii="Arial" w:cs="Arial" w:eastAsia="Arial" w:hAnsi="Arial"/>
          <w:b w:val="false"/>
          <w:bCs w:val="false"/>
          <w:i w:val="false"/>
          <w:iCs w:val="false"/>
          <w:color w:val="1A1A2E"/>
          <w:sz w:val="20"/>
          <w:szCs w:val="20"/>
        </w:rPr>
        <w:t xml:space="preserve">Evaluated deterministically. No AI required. Fire when a verifiable comparison against a trusted source yields a clear result.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RATE_EXCESS</w:t>
            </w:r>
            <w:r>
              <w:rPr>
                <w:sz w:val="22"/>
                <w:szCs w:val="22"/>
              </w:rPr>
              <w:t xml:space="preserve">   </w:t>
            </w:r>
            <w:r>
              <w:rPr>
                <w:rFonts w:ascii="Arial" w:cs="Arial" w:eastAsia="Arial" w:hAnsi="Arial"/>
                <w:color w:val="FFFFFF"/>
                <w:sz w:val="20"/>
                <w:szCs w:val="20"/>
              </w:rPr>
              <w:t xml:space="preserve">Charged rate exceeds approved maximum rate</w:t>
            </w:r>
          </w:p>
        </w:tc>
      </w:tr>
      <w:tr>
        <w:tc>
          <w:tcPr>
            <w:tcW w:type="dxa" w:w="1778"/>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OBJECTIVE</w:t>
            </w:r>
          </w:p>
        </w:tc>
        <w:tc>
          <w:tcPr>
            <w:tcW w:type="dxa" w:w="1778"/>
            <w:tcBorders>
              <w:top w:val="single" w:color="CCCCDD" w:sz="1"/>
              <w:left w:val="single" w:color="CCCCDD" w:sz="1"/>
              <w:bottom w:val="single" w:color="CCCCDD" w:sz="1"/>
              <w:right w:val="single" w:color="CCCCDD" w:sz="1"/>
            </w:tcBorders>
            <w:shd w:fill="CC22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ERROR</w:t>
            </w:r>
          </w:p>
        </w:tc>
        <w:tc>
          <w:tcPr>
            <w:tcW w:type="dxa" w:w="2059"/>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deterministic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invoice_item</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Active Panel Rates (matching: law_firm + jurisdiction + role_normalized + currency)
OR Engagement Letter rate card (Non-Panel firms)</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The hourly rate charged for [TIMEKEEPER] ([ROLE_NORMALIZED]) on line [LINE_NO] is [RATE_CHARGED] [CURRENCY], which exceeds the maximum approved rate of [MAX_RATE] [CURRENCY] for this role and jurisdiction ([JURISDICTION]). Excess per hour: [EXCESS_PER_HOUR]. Total excess on this line: [RECOVERABLE_AMOUNT].</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line_no
timekeeper_label
role_raw
role_normalized
rate_charged
max_rate (from source)
jurisdiction
hours
excess_per_hour
excess_total
source_document</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 | Delegate to Internal Lawyer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(rate_charged − max_rate) × hours</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Group Key</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rate_excess_line_{line_no}</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Role normalisation must run before this rule. If role_normalized is null, raise LAWYER_ROLE_MISMATCH instead. For Non-Panel firms, source is the EL rate card, not Panel Rates. Apply per line — do not aggregate across lines before raising.</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LAWYER_ROLE_MISMATCH</w:t>
            </w:r>
            <w:r>
              <w:rPr>
                <w:sz w:val="22"/>
                <w:szCs w:val="22"/>
              </w:rPr>
              <w:t xml:space="preserve">   </w:t>
            </w:r>
            <w:r>
              <w:rPr>
                <w:rFonts w:ascii="Arial" w:cs="Arial" w:eastAsia="Arial" w:hAnsi="Arial"/>
                <w:color w:val="FFFFFF"/>
                <w:sz w:val="20"/>
                <w:szCs w:val="20"/>
              </w:rPr>
              <w:t xml:space="preserve">Timekeeper role does not map to any approved rate role</w:t>
            </w:r>
          </w:p>
        </w:tc>
      </w:tr>
      <w:tr>
        <w:tc>
          <w:tcPr>
            <w:tcW w:type="dxa" w:w="1778"/>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OBJECTIVE</w:t>
            </w:r>
          </w:p>
        </w:tc>
        <w:tc>
          <w:tcPr>
            <w:tcW w:type="dxa" w:w="1778"/>
            <w:tcBorders>
              <w:top w:val="single" w:color="CCCCDD" w:sz="1"/>
              <w:left w:val="single" w:color="CCCCDD" w:sz="1"/>
              <w:bottom w:val="single" w:color="CCCCDD" w:sz="1"/>
              <w:right w:val="single" w:color="CCCCDD" w:sz="1"/>
            </w:tcBorders>
            <w:shd w:fill="CC22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ERROR</w:t>
            </w:r>
          </w:p>
        </w:tc>
        <w:tc>
          <w:tcPr>
            <w:tcW w:type="dxa" w:w="2059"/>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deterministic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invoice_item</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Active Panel Rates role catalogue (for Panel firms)
OR Engagement Letter rate card roles (for Non-Panel firms)</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The role label "[ROLE_RAW]" on line [LINE_NO] for [TIMEKEEPER] could not be mapped to any approved role in the rate schedule applicable to this matter. As a result, no maximum rate check can be performed for this line. Please clarify the correct role or confirm whether this timekeeper is authorised.</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line_no
timekeeper_label
role_raw
normalisation_attempted
available_roles_in_source</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 | Delegate to Internal Lawyer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N/A — no automatic recovery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This rule fires when normalisation fails entirely. It blocks RATE_EXCESS from running on the same line — do not raise both simultaneously. Provide the list of known roles from the applicable rate source in the evidence to help the reviewer.</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RATE_CARD_EXPIRED_OR_MISSING</w:t>
            </w:r>
            <w:r>
              <w:rPr>
                <w:sz w:val="22"/>
                <w:szCs w:val="22"/>
              </w:rPr>
              <w:t xml:space="preserve">   </w:t>
            </w:r>
            <w:r>
              <w:rPr>
                <w:rFonts w:ascii="Arial" w:cs="Arial" w:eastAsia="Arial" w:hAnsi="Arial"/>
                <w:color w:val="FFFFFF"/>
                <w:sz w:val="20"/>
                <w:szCs w:val="20"/>
              </w:rPr>
              <w:t xml:space="preserve">No valid rate found for this firm, role, and jurisdiction combination</w:t>
            </w:r>
          </w:p>
        </w:tc>
      </w:tr>
      <w:tr>
        <w:tc>
          <w:tcPr>
            <w:tcW w:type="dxa" w:w="1778"/>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OBJECTIVE</w:t>
            </w:r>
          </w:p>
        </w:tc>
        <w:tc>
          <w:tcPr>
            <w:tcW w:type="dxa" w:w="1778"/>
            <w:tcBorders>
              <w:top w:val="single" w:color="CCCCDD" w:sz="1"/>
              <w:left w:val="single" w:color="CCCCDD" w:sz="1"/>
              <w:bottom w:val="single" w:color="CCCCDD" w:sz="1"/>
              <w:right w:val="single" w:color="CCCCDD" w:sz="1"/>
            </w:tcBorders>
            <w:shd w:fill="CC22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ERROR</w:t>
            </w:r>
          </w:p>
        </w:tc>
        <w:tc>
          <w:tcPr>
            <w:tcW w:type="dxa" w:w="2059"/>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deterministic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Active Panel Rates document</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No active rate entry was found for [LAW_FIRM] in jurisdiction [JURISDICTION] for role [ROLE_NORMALIZED] as at [INVOICE_DATE]. Either the rate card does not cover this combination or the applicable version has expired. Analysis cannot proceed reliably for lines affected by this gap.</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law_firm
jurisdiction
role_normalized
invoice_date
latest_valid_to_in_system
affected_line_nos</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 | Delegate to Internal Lawyer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N/A — no automatic recovery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Raise once per missing combination — not once per line. Include count of affected lines in evidence. If rates exist but valid_to &lt; invoice_date, state the expiry date explicitly.</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WRONG_CURRENCY</w:t>
            </w:r>
            <w:r>
              <w:rPr>
                <w:sz w:val="22"/>
                <w:szCs w:val="22"/>
              </w:rPr>
              <w:t xml:space="preserve">   </w:t>
            </w:r>
            <w:r>
              <w:rPr>
                <w:rFonts w:ascii="Arial" w:cs="Arial" w:eastAsia="Arial" w:hAnsi="Arial"/>
                <w:color w:val="FFFFFF"/>
                <w:sz w:val="20"/>
                <w:szCs w:val="20"/>
              </w:rPr>
              <w:t xml:space="preserve">Invoice currency is inconsistent with agreed billing currency</w:t>
            </w:r>
          </w:p>
        </w:tc>
      </w:tr>
      <w:tr>
        <w:tc>
          <w:tcPr>
            <w:tcW w:type="dxa" w:w="1778"/>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OBJECTIVE</w:t>
            </w:r>
          </w:p>
        </w:tc>
        <w:tc>
          <w:tcPr>
            <w:tcW w:type="dxa" w:w="1778"/>
            <w:tcBorders>
              <w:top w:val="single" w:color="CCCCDD" w:sz="1"/>
              <w:left w:val="single" w:color="CCCCDD" w:sz="1"/>
              <w:bottom w:val="single" w:color="CCCCDD" w:sz="1"/>
              <w:right w:val="single" w:color="CCCCDD" w:sz="1"/>
            </w:tcBorders>
            <w:shd w:fill="CC22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ERROR</w:t>
            </w:r>
          </w:p>
        </w:tc>
        <w:tc>
          <w:tcPr>
            <w:tcW w:type="dxa" w:w="2059"/>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deterministic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Panel T&amp;C or Engagement Letter (agreed currency field)
Invoice header currency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The invoice is denominated in [INVOICE_CURRENCY], but the agreed billing currency for [LAW_FIRM] under [SOURCE_DOCUMENT] is [AGREED_CURRENCY]. This discrepancy must be resolved before payment can be approved.</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invoice_currency
agreed_currency
source_document
law_firm</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 | Delegate to Internal Lawyer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N/A — no automatic recovery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For Non-Panel firms: agreed currency is taken from the EL. If EL does not specify currency, raise REQUIRED_SOURCE_MISSING instead. Do not attempt FX conversion — flag and delegate.</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VOLUME_DISCOUNT_NOT_APPLIED</w:t>
            </w:r>
            <w:r>
              <w:rPr>
                <w:sz w:val="22"/>
                <w:szCs w:val="22"/>
              </w:rPr>
              <w:t xml:space="preserve">   </w:t>
            </w:r>
            <w:r>
              <w:rPr>
                <w:rFonts w:ascii="Arial" w:cs="Arial" w:eastAsia="Arial" w:hAnsi="Arial"/>
                <w:color w:val="FFFFFF"/>
                <w:sz w:val="20"/>
                <w:szCs w:val="20"/>
              </w:rPr>
              <w:t xml:space="preserve">Volume discount threshold has been reached but discount is not applied</w:t>
            </w:r>
          </w:p>
        </w:tc>
      </w:tr>
      <w:tr>
        <w:tc>
          <w:tcPr>
            <w:tcW w:type="dxa" w:w="1778"/>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OBJECTIVE</w:t>
            </w:r>
          </w:p>
        </w:tc>
        <w:tc>
          <w:tcPr>
            <w:tcW w:type="dxa" w:w="1778"/>
            <w:tcBorders>
              <w:top w:val="single" w:color="CCCCDD" w:sz="1"/>
              <w:left w:val="single" w:color="CCCCDD" w:sz="1"/>
              <w:bottom w:val="single" w:color="CCCCDD" w:sz="1"/>
              <w:right w:val="single" w:color="CCCCDD" w:sz="1"/>
            </w:tcBorders>
            <w:shd w:fill="CC22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ERROR</w:t>
            </w:r>
          </w:p>
        </w:tc>
        <w:tc>
          <w:tcPr>
            <w:tcW w:type="dxa" w:w="2059"/>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deterministic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Panel T&amp;C — discount_thresholds_json (bands, percentages, method)
Billing history for this firm in current calendar year (cumulative_fees_ytd)</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Cumulative fees billed by [LAW_FIRM] in [CALENDAR_YEAR] prior to this invoice total [CUMULATIVE_PRE_INVOICE] [CURRENCY]. With this invoice ([INVOICE_FEES] [CURRENCY]), cumulative total reaches [CUMULATIVE_WITH_INVOICE] [CURRENCY], which [CROSSES / HAS ALREADY CROSSED] the [THRESHOLD_BAND] discount threshold. Under the [METHOD] discount method, a [DISCOUNT_PCT]% discount should [HAVE BEEN / BE] applied. Expected discount: [EXPECTED_DISCOUNT] [CURRENCY]. No discount was found on this invoice.</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law_firm
calendar_year
cumulative_fees_ytd
invoice_fees
cumulative_with_invoice
applicable_threshold_band
discount_pct
discount_method
expected_discount
payment_type</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Step method: discount_pct × cumulative_with_invoice (if threshold crossed for first time this invoice)
Step method: discount_pct × invoice_fees (if threshold was already crossed in prior invoices)
Tiered method: sum of (pct_i × amount_in_band_i) for each band crossed</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Group Key</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volume_discount_{firm_id}_{year}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Requires access to all prior approved invoices for the same firm in the current calendar year. If prior invoices are not yet in the system, raise with note that calculation is provisional. Do not raise if discount_thresholds_json is null or empty for this firm. If a partial discount was applied, calculate only the shortfall.</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EXPENSE_CAP_EXCEEDED</w:t>
            </w:r>
            <w:r>
              <w:rPr>
                <w:sz w:val="22"/>
                <w:szCs w:val="22"/>
              </w:rPr>
              <w:t xml:space="preserve">   </w:t>
            </w:r>
            <w:r>
              <w:rPr>
                <w:rFonts w:ascii="Arial" w:cs="Arial" w:eastAsia="Arial" w:hAnsi="Arial"/>
                <w:color w:val="FFFFFF"/>
                <w:sz w:val="20"/>
                <w:szCs w:val="20"/>
              </w:rPr>
              <w:t xml:space="preserve">Expense line exceeds the cap permitted under T&amp;C or Engagement Letter</w:t>
            </w:r>
          </w:p>
        </w:tc>
      </w:tr>
      <w:tr>
        <w:tc>
          <w:tcPr>
            <w:tcW w:type="dxa" w:w="1778"/>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OBJECTIVE</w:t>
            </w:r>
          </w:p>
        </w:tc>
        <w:tc>
          <w:tcPr>
            <w:tcW w:type="dxa" w:w="1778"/>
            <w:tcBorders>
              <w:top w:val="single" w:color="CCCCDD" w:sz="1"/>
              <w:left w:val="single" w:color="CCCCDD" w:sz="1"/>
              <w:bottom w:val="single" w:color="CCCCDD" w:sz="1"/>
              <w:right w:val="single" w:color="CCCCDD" w:sz="1"/>
            </w:tcBorders>
            <w:shd w:fill="CC22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ERROR</w:t>
            </w:r>
          </w:p>
        </w:tc>
        <w:tc>
          <w:tcPr>
            <w:tcW w:type="dxa" w:w="2059"/>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deterministic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invoice_item</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Panel T&amp;C expense_policy_json (cap rules per expense type)
OR Engagement Letter expense terms</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Line [LINE_NO] records an expense of type "[EXPENSE_TYPE]" for [AMOUNT] [CURRENCY]. The applicable cap for this expense type under [SOURCE_DOCUMENT] is [CAP_AMOUNT] [CURRENCY]. The excess is [RECOVERABLE_AMOUNT] [CURRENCY].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line_no
expense_type
amount_charged
cap_amount
source_document
excess_amount</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 | Delegate to Internal Lawyer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amount_charged − cap_amount</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Group Key</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expense_cap_{line_no}</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Applies only to expense lines (is_expense_line = true). If the expense type has no defined cap, do not raise this rule — raise UNAUTHORIZED_EXPENSE_TYPE instead if the type is not listed.</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FIXED_SCOPE_AMOUNT_MISMATCH</w:t>
            </w:r>
            <w:r>
              <w:rPr>
                <w:sz w:val="22"/>
                <w:szCs w:val="22"/>
              </w:rPr>
              <w:t xml:space="preserve">   </w:t>
            </w:r>
            <w:r>
              <w:rPr>
                <w:rFonts w:ascii="Arial" w:cs="Arial" w:eastAsia="Arial" w:hAnsi="Arial"/>
                <w:color w:val="FFFFFF"/>
                <w:sz w:val="20"/>
                <w:szCs w:val="20"/>
              </w:rPr>
              <w:t xml:space="preserve">Fixed / Closed Scope invoice total exceeds the agreed fixed fee</w:t>
            </w:r>
          </w:p>
        </w:tc>
      </w:tr>
      <w:tr>
        <w:tc>
          <w:tcPr>
            <w:tcW w:type="dxa" w:w="1778"/>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OBJECTIVE</w:t>
            </w:r>
          </w:p>
        </w:tc>
        <w:tc>
          <w:tcPr>
            <w:tcW w:type="dxa" w:w="1778"/>
            <w:tcBorders>
              <w:top w:val="single" w:color="CCCCDD" w:sz="1"/>
              <w:left w:val="single" w:color="CCCCDD" w:sz="1"/>
              <w:bottom w:val="single" w:color="CCCCDD" w:sz="1"/>
              <w:right w:val="single" w:color="CCCCDD" w:sz="1"/>
            </w:tcBorders>
            <w:shd w:fill="CC22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ERROR</w:t>
            </w:r>
          </w:p>
        </w:tc>
        <w:tc>
          <w:tcPr>
            <w:tcW w:type="dxa" w:w="2059"/>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deterministic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Engagement Letter — agreed fixed fee amount for the applicable phase/scope</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This invoice is for a Fixed / Closed Scope engagement. The agreed fixed fee for [SCOPE_DESCRIPTION] under the Engagement Letter dated [EL_DATE] is [AGREED_FEE] [CURRENCY]. The invoice total is [INVOICE_TOTAL] [CURRENCY], which exceeds the agreed fee by [EXCESS] [CURRENCY]. No variation to the fixed fee was pre-approved by Arcturus.</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billing_type
agreed_fee
el_date
scope_description
invoice_total
excess_amount</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invoice_total − agreed_fixed_fee</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Group Key</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fixed_scope_excess_{invoice_id}</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Only fires when billing_type = fixed_scope. Requires EL to contain an explicit fixed fee amount. If EL is absent, raise REQUIRED_SOURCE_MISSING instead. Do not raise if invoice_total ≤ agreed_fee.</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DUPLICATE_LINE</w:t>
            </w:r>
            <w:r>
              <w:rPr>
                <w:sz w:val="22"/>
                <w:szCs w:val="22"/>
              </w:rPr>
              <w:t xml:space="preserve">   </w:t>
            </w:r>
            <w:r>
              <w:rPr>
                <w:rFonts w:ascii="Arial" w:cs="Arial" w:eastAsia="Arial" w:hAnsi="Arial"/>
                <w:color w:val="FFFFFF"/>
                <w:sz w:val="20"/>
                <w:szCs w:val="20"/>
              </w:rPr>
              <w:t xml:space="preserve">Possible duplicate line item detected</w:t>
            </w:r>
          </w:p>
        </w:tc>
      </w:tr>
      <w:tr>
        <w:tc>
          <w:tcPr>
            <w:tcW w:type="dxa" w:w="1778"/>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OBJECTIVE</w:t>
            </w:r>
          </w:p>
        </w:tc>
        <w:tc>
          <w:tcPr>
            <w:tcW w:type="dxa" w:w="1778"/>
            <w:tcBorders>
              <w:top w:val="single" w:color="CCCCDD" w:sz="1"/>
              <w:left w:val="single" w:color="CCCCDD" w:sz="1"/>
              <w:bottom w:val="single" w:color="CCCCDD" w:sz="1"/>
              <w:right w:val="single" w:color="CCCCDD" w:sz="1"/>
            </w:tcBorders>
            <w:shd w:fill="CC22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ERROR</w:t>
            </w:r>
          </w:p>
        </w:tc>
        <w:tc>
          <w:tcPr>
            <w:tcW w:type="dxa" w:w="2059"/>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deterministic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invoice_item</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Invoice line items (internal — within the same invoice)</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Line [LINE_NO_B] appears to be a duplicate of line [LINE_NO_A]. Both share the same date ([DATE]), timekeeper ([TIMEKEEPER]), hours ([HOURS]), rate ([RATE]) and a near-identical description. The duplicate line represents [RECOVERABLE_AMOUNT] [CURRENCY].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line_no_a
line_no_b
date
timekeeper_label
hours
rate
description_a
description_b
amount</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amount of the duplicate line (the second occurrence)</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Group Key</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duplicate_{line_no_a}_{line_no_b}</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Matching logic: exact match on (work_date + timekeeper_label + hours + rate_charged). Fuzzy description match is a supporting signal, not a requirement. Flag the second occurrence (higher line number) as the duplicate. Raise once per duplicate pair — do not raise for both lines.</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ARITHMETIC_ERROR</w:t>
            </w:r>
            <w:r>
              <w:rPr>
                <w:sz w:val="22"/>
                <w:szCs w:val="22"/>
              </w:rPr>
              <w:t xml:space="preserve">   </w:t>
            </w:r>
            <w:r>
              <w:rPr>
                <w:rFonts w:ascii="Arial" w:cs="Arial" w:eastAsia="Arial" w:hAnsi="Arial"/>
                <w:color w:val="FFFFFF"/>
                <w:sz w:val="20"/>
                <w:szCs w:val="20"/>
              </w:rPr>
              <w:t xml:space="preserve">Line amount does not match hours × rate</w:t>
            </w:r>
          </w:p>
        </w:tc>
      </w:tr>
      <w:tr>
        <w:tc>
          <w:tcPr>
            <w:tcW w:type="dxa" w:w="1778"/>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OBJECTIVE</w:t>
            </w:r>
          </w:p>
        </w:tc>
        <w:tc>
          <w:tcPr>
            <w:tcW w:type="dxa" w:w="1778"/>
            <w:tcBorders>
              <w:top w:val="single" w:color="CCCCDD" w:sz="1"/>
              <w:left w:val="single" w:color="CCCCDD" w:sz="1"/>
              <w:bottom w:val="single" w:color="CCCCDD" w:sz="1"/>
              <w:right w:val="single" w:color="CCCCDD" w:sz="1"/>
            </w:tcBorders>
            <w:shd w:fill="CC22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ERROR</w:t>
            </w:r>
          </w:p>
        </w:tc>
        <w:tc>
          <w:tcPr>
            <w:tcW w:type="dxa" w:w="2059"/>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deterministic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invoice_item</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Invoice line items (internal)</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Line [LINE_NO] records [HOURS]h at [RATE] [CURRENCY]/h, which should total [EXPECTED_AMOUNT] [CURRENCY]. The invoiced amount is [ACTUAL_AMOUNT] [CURRENCY]. The discrepancy is [DIFFERENCE] [CURRENCY] ([DIRECTION]).</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line_no
hours
rate_charged
expected_amount
actual_amount
difference</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If actual &gt; expected: actual_amount − expected_amount (overbilling)
If actual &lt; expected: no recovery (underbilling — flag only)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Group Key</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arithmetic_{line_no}</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Apply tolerance of ±0.01 [CURRENCY] to account for rounding. Do not raise if difference is within tolerance. Raise regardless of direction — both over and underbilling are flagged, but recovery only applies to overbilling.</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BILLING_PERIOD_OUTSIDE_EL</w:t>
            </w:r>
            <w:r>
              <w:rPr>
                <w:sz w:val="22"/>
                <w:szCs w:val="22"/>
              </w:rPr>
              <w:t xml:space="preserve">   </w:t>
            </w:r>
            <w:r>
              <w:rPr>
                <w:rFonts w:ascii="Arial" w:cs="Arial" w:eastAsia="Arial" w:hAnsi="Arial"/>
                <w:color w:val="FFFFFF"/>
                <w:sz w:val="20"/>
                <w:szCs w:val="20"/>
              </w:rPr>
              <w:t xml:space="preserve">Billing period falls outside the Engagement Letter term</w:t>
            </w:r>
          </w:p>
        </w:tc>
      </w:tr>
      <w:tr>
        <w:tc>
          <w:tcPr>
            <w:tcW w:type="dxa" w:w="1778"/>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OBJECTIVE</w:t>
            </w:r>
          </w:p>
        </w:tc>
        <w:tc>
          <w:tcPr>
            <w:tcW w:type="dxa" w:w="1778"/>
            <w:tcBorders>
              <w:top w:val="single" w:color="CCCCDD" w:sz="1"/>
              <w:left w:val="single" w:color="CCCCDD" w:sz="1"/>
              <w:bottom w:val="single" w:color="CCCCDD" w:sz="1"/>
              <w:right w:val="single" w:color="CCCCDD" w:sz="1"/>
            </w:tcBorders>
            <w:shd w:fill="CC22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ERROR</w:t>
            </w:r>
          </w:p>
        </w:tc>
        <w:tc>
          <w:tcPr>
            <w:tcW w:type="dxa" w:w="2059"/>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deterministic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invoice_item</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Engagement Letter — commencement_date and expiry_date (or end_date)</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Line [LINE_NO] is dated [WORK_DATE], which falls outside the Engagement Letter period ([EL_START] to [EL_END]). Work billed outside the agreed engagement period requires specific authorisation.</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line_no
work_date
el_start
el_end
timekeeper_label</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 | Delegate to Internal Lawyer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N/A — no automatic recovery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Only fires when EL contains explicit start and end dates. If EL has no end date, do not raise. Group multiple out-of-period lines into a single issue with list of affected line numbers.</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MISSING_DOCUMENTS_FIXED_SCOPE</w:t>
            </w:r>
            <w:r>
              <w:rPr>
                <w:sz w:val="22"/>
                <w:szCs w:val="22"/>
              </w:rPr>
              <w:t xml:space="preserve">   </w:t>
            </w:r>
            <w:r>
              <w:rPr>
                <w:rFonts w:ascii="Arial" w:cs="Arial" w:eastAsia="Arial" w:hAnsi="Arial"/>
                <w:color w:val="FFFFFF"/>
                <w:sz w:val="20"/>
                <w:szCs w:val="20"/>
              </w:rPr>
              <w:t xml:space="preserve">Mandatory supporting documents absent for a Fixed / Closed Scope invoice</w:t>
            </w:r>
          </w:p>
        </w:tc>
      </w:tr>
      <w:tr>
        <w:tc>
          <w:tcPr>
            <w:tcW w:type="dxa" w:w="1778"/>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OBJECTIVE</w:t>
            </w:r>
          </w:p>
        </w:tc>
        <w:tc>
          <w:tcPr>
            <w:tcW w:type="dxa" w:w="1778"/>
            <w:tcBorders>
              <w:top w:val="single" w:color="CCCCDD" w:sz="1"/>
              <w:left w:val="single" w:color="CCCCDD" w:sz="1"/>
              <w:bottom w:val="single" w:color="CCCCDD" w:sz="1"/>
              <w:right w:val="single" w:color="CCCCDD" w:sz="1"/>
            </w:tcBorders>
            <w:shd w:fill="CC22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ERROR</w:t>
            </w:r>
          </w:p>
        </w:tc>
        <w:tc>
          <w:tcPr>
            <w:tcW w:type="dxa" w:w="2059"/>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deterministic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invoice_documents table — presence of engagement_letter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This invoice is billed as Fixed / Closed Scope but no Engagement Letter has been uploaded. An Engagement Letter specifying the agreed fixed fee is mandatory before this invoice can be analysed or approved.</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billing_type
invoice_documents_present</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Reject</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N/A — no automatic recovery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This rule fires as part of the completeness gate — it blocks Run Analysis rather than appearing as a post-analysis issue. Raise as a blocking gate item, not as a standard issue.</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LINE_ITEMS_IN_FIXED_SCOPE</w:t>
            </w:r>
            <w:r>
              <w:rPr>
                <w:sz w:val="22"/>
                <w:szCs w:val="22"/>
              </w:rPr>
              <w:t xml:space="preserve">   </w:t>
            </w:r>
            <w:r>
              <w:rPr>
                <w:rFonts w:ascii="Arial" w:cs="Arial" w:eastAsia="Arial" w:hAnsi="Arial"/>
                <w:color w:val="FFFFFF"/>
                <w:sz w:val="20"/>
                <w:szCs w:val="20"/>
              </w:rPr>
              <w:t xml:space="preserve">Hourly breakdown present in a Fixed / Closed Scope invoice</w:t>
            </w:r>
          </w:p>
        </w:tc>
      </w:tr>
      <w:tr>
        <w:tc>
          <w:tcPr>
            <w:tcW w:type="dxa" w:w="1778"/>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OBJECTIVE</w:t>
            </w:r>
          </w:p>
        </w:tc>
        <w:tc>
          <w:tcPr>
            <w:tcW w:type="dxa" w:w="1778"/>
            <w:tcBorders>
              <w:top w:val="single" w:color="CCCCDD" w:sz="1"/>
              <w:left w:val="single" w:color="CCCCDD" w:sz="1"/>
              <w:bottom w:val="single" w:color="CCCCDD" w:sz="1"/>
              <w:right w:val="single" w:color="CCCCDD" w:sz="1"/>
            </w:tcBorders>
            <w:shd w:fill="CC22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ERROR</w:t>
            </w:r>
          </w:p>
        </w:tc>
        <w:tc>
          <w:tcPr>
            <w:tcW w:type="dxa" w:w="2059"/>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deterministic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Invoice line items
billing_type field</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This invoice is billed as Fixed / Closed Scope, but contains [N] line items with individual hours and rates. Fixed scope invoices should not include a time-based breakdown unless expressly requested by Arcturus. The presence of hourly lines may indicate that the firm is attempting to bill on a time and materials basis.</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billing_type
line_item_count
sample_line_nos</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 | Delegate to Internal Lawyer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N/A — no automatic recovery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Do not block analysis — allow the invoice to proceed but flag this as an issue. If billing_type = fixed_scope and invoice_items.count &gt; 0 and items contain hours and rates, raise this rule. This does not replace FIXED_SCOPE_AMOUNT_MISMATCH — both can fire on the same invoice.</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UNAUTHORIZED_EXPENSE_TYPE</w:t>
            </w:r>
            <w:r>
              <w:rPr>
                <w:sz w:val="22"/>
                <w:szCs w:val="22"/>
              </w:rPr>
              <w:t xml:space="preserve">   </w:t>
            </w:r>
            <w:r>
              <w:rPr>
                <w:rFonts w:ascii="Arial" w:cs="Arial" w:eastAsia="Arial" w:hAnsi="Arial"/>
                <w:color w:val="FFFFFF"/>
                <w:sz w:val="20"/>
                <w:szCs w:val="20"/>
              </w:rPr>
              <w:t xml:space="preserve">Expense type not authorised under T&amp;C or Engagement Letter</w:t>
            </w:r>
          </w:p>
        </w:tc>
      </w:tr>
      <w:tr>
        <w:tc>
          <w:tcPr>
            <w:tcW w:type="dxa" w:w="1778"/>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OBJECTIVE</w:t>
            </w:r>
          </w:p>
        </w:tc>
        <w:tc>
          <w:tcPr>
            <w:tcW w:type="dxa" w:w="1778"/>
            <w:tcBorders>
              <w:top w:val="single" w:color="CCCCDD" w:sz="1"/>
              <w:left w:val="single" w:color="CCCCDD" w:sz="1"/>
              <w:bottom w:val="single" w:color="CCCCDD" w:sz="1"/>
              <w:right w:val="single" w:color="CCCCDD" w:sz="1"/>
            </w:tcBorders>
            <w:shd w:fill="CC22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ERROR</w:t>
            </w:r>
          </w:p>
        </w:tc>
        <w:tc>
          <w:tcPr>
            <w:tcW w:type="dxa" w:w="2059"/>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deterministic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invoice_item</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Panel T&amp;C — expense_policy_json (list of allowed expense types)
AND/OR Engagement Letter (if it overrides or supplements T&amp;C expense terms)</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Line [LINE_NO] records an expense of type "[EXPENSE_TYPE]" for [AMOUNT] [CURRENCY]. This expense type was not found in the list of authorised expenses under [SOURCE_DOCUMENT], or no prior authorisation from Arcturus was recorded. Common non-reimbursable items include: secretarial time, photocopying, telephone charges, meals (outside approved travel), and third-party professional services (experts, local counsel, eDiscovery platforms) without prior written approval.</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line_no
expense_type
amount
description
source_document
authorised_types_in_source</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 | Delegate to Internal Lawyer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Full amount of the line if rejected</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Group Key</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unauth_expense_{line_no}</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Covers third-party professional services (e.g. external data analytics firms, QCs/KCs, local counsel) where no prior written Arcturus approval is recorded. If the expense type is listed but a cap is exceeded, raise EXPENSE_CAP_EXCEEDED instead (or in addition). Do not raise for disbursement lines with a clearly authorised expense type.</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REQUIRED_SOURCE_MISSING</w:t>
            </w:r>
            <w:r>
              <w:rPr>
                <w:sz w:val="22"/>
                <w:szCs w:val="22"/>
              </w:rPr>
              <w:t xml:space="preserve">   </w:t>
            </w:r>
            <w:r>
              <w:rPr>
                <w:rFonts w:ascii="Arial" w:cs="Arial" w:eastAsia="Arial" w:hAnsi="Arial"/>
                <w:color w:val="FFFFFF"/>
                <w:sz w:val="20"/>
                <w:szCs w:val="20"/>
              </w:rPr>
              <w:t xml:space="preserve">A mandatory source document for analysis is absent</w:t>
            </w:r>
          </w:p>
        </w:tc>
      </w:tr>
      <w:tr>
        <w:tc>
          <w:tcPr>
            <w:tcW w:type="dxa" w:w="1778"/>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OBJECTIVE</w:t>
            </w:r>
          </w:p>
        </w:tc>
        <w:tc>
          <w:tcPr>
            <w:tcW w:type="dxa" w:w="1778"/>
            <w:tcBorders>
              <w:top w:val="single" w:color="CCCCDD" w:sz="1"/>
              <w:left w:val="single" w:color="CCCCDD" w:sz="1"/>
              <w:bottom w:val="single" w:color="CCCCDD" w:sz="1"/>
              <w:right w:val="single" w:color="CCCCDD" w:sz="1"/>
            </w:tcBorders>
            <w:shd w:fill="CC22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ERROR</w:t>
            </w:r>
          </w:p>
        </w:tc>
        <w:tc>
          <w:tcPr>
            <w:tcW w:type="dxa" w:w="2059"/>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deterministic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Completeness gate logic</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The following required source is missing and prevents a complete analysis: [MISSING_SOURCE]. Reason required: [REASON]. Rules that cannot be evaluated without this source: [AFFECTED_RULES].</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missing_source
reason
affected_rules
firm_type</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Upload missing document and re-run</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N/A — no automatic recovery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This is a completeness gate item. It fires before or during analysis, not as a post-analysis issue. Specific triggers: (a) Non-Panel firm with no EL uploaded; (b) Panel firm with no active Rates; (c) Panel firm with no active Panel T&amp;C associated. List specifically which rules are blocked.</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TAX_OR_VAT_MISMATCH</w:t>
            </w:r>
            <w:r>
              <w:rPr>
                <w:sz w:val="22"/>
                <w:szCs w:val="22"/>
              </w:rPr>
              <w:t xml:space="preserve">   </w:t>
            </w:r>
            <w:r>
              <w:rPr>
                <w:rFonts w:ascii="Arial" w:cs="Arial" w:eastAsia="Arial" w:hAnsi="Arial"/>
                <w:color w:val="FFFFFF"/>
                <w:sz w:val="20"/>
                <w:szCs w:val="20"/>
              </w:rPr>
              <w:t xml:space="preserve">Tax or VAT amount is absent, miscalculated, or inconsistent</w:t>
            </w:r>
          </w:p>
        </w:tc>
      </w:tr>
      <w:tr>
        <w:tc>
          <w:tcPr>
            <w:tcW w:type="dxa" w:w="1778"/>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OBJECTIVE</w:t>
            </w:r>
          </w:p>
        </w:tc>
        <w:tc>
          <w:tcPr>
            <w:tcW w:type="dxa" w:w="1778"/>
            <w:tcBorders>
              <w:top w:val="single" w:color="CCCCDD" w:sz="1"/>
              <w:left w:val="single" w:color="CCCCDD" w:sz="1"/>
              <w:bottom w:val="single" w:color="CCCCDD" w:sz="1"/>
              <w:right w:val="single" w:color="CCCCDD" w:sz="1"/>
            </w:tcBorders>
            <w:shd w:fill="CC22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ERROR</w:t>
            </w:r>
          </w:p>
        </w:tc>
        <w:tc>
          <w:tcPr>
            <w:tcW w:type="dxa" w:w="2059"/>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deterministic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Invoice header (tax_amount, tax_rate_label, tax_included_flag)
Applicable tax rules for the jurisdiction (from extracted invoice or EL)</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 tax or VAT discrepancy was detected on this invoice. [SPECIFIC_ISSUE]: the stated [TAX_LABEL] amount is [STATED_TAX] [CURRENCY], but the expected amount based on [BASIS] is [EXPECTED_TAX] [CURRENCY]. Difference: [DIFFERENCE] [CURRENCY].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tax_label
stated_tax_amount
expected_tax_amount
tax_rate
subtotal_amount
basis_of_calculation
difference</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 | Delegate to Internal Lawyer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stated_tax − expected_tax (if stated &gt; expected and quantifiable)</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Group Key</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tax_mismatch_{invoice_id}</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Covers: (a) VAT charged when reverse charge should apply; (b) incorrect VAT rate; (c) arithmetic error in tax calculation; (d) missing tax line when tax is expected. If the correct tax treatment cannot be determined from available sources, raise as warning and delegate.</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INCONSISTENT_RATE_FOR_SAME_TIMEKEEPER</w:t>
            </w:r>
            <w:r>
              <w:rPr>
                <w:sz w:val="22"/>
                <w:szCs w:val="22"/>
              </w:rPr>
              <w:t xml:space="preserve">   </w:t>
            </w:r>
            <w:r>
              <w:rPr>
                <w:rFonts w:ascii="Arial" w:cs="Arial" w:eastAsia="Arial" w:hAnsi="Arial"/>
                <w:color w:val="FFFFFF"/>
                <w:sz w:val="20"/>
                <w:szCs w:val="20"/>
              </w:rPr>
              <w:t xml:space="preserve">Same timekeeper appears with different rates within the same invoice</w:t>
            </w:r>
          </w:p>
        </w:tc>
      </w:tr>
      <w:tr>
        <w:tc>
          <w:tcPr>
            <w:tcW w:type="dxa" w:w="1778"/>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OBJECTIVE</w:t>
            </w:r>
          </w:p>
        </w:tc>
        <w:tc>
          <w:tcPr>
            <w:tcW w:type="dxa" w:w="1778"/>
            <w:tcBorders>
              <w:top w:val="single" w:color="CCCCDD" w:sz="1"/>
              <w:left w:val="single" w:color="CCCCDD" w:sz="1"/>
              <w:bottom w:val="single" w:color="CCCCDD" w:sz="1"/>
              <w:right w:val="single" w:color="CCCCDD" w:sz="1"/>
            </w:tcBorders>
            <w:shd w:fill="CC22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ERROR</w:t>
            </w:r>
          </w:p>
        </w:tc>
        <w:tc>
          <w:tcPr>
            <w:tcW w:type="dxa" w:w="2059"/>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deterministic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invoice_item</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Invoice line items (internal)</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[TIMEKEEPER] ([ROLE]) appears on [N] lines with inconsistent rates: [RATE_LIST]. The maximum approved rate for this role and jurisdiction is [MAX_RATE] [CURRENCY]. Lines with rates above the approved maximum: [AFFECTED_LINES]. Estimated excess (if lines with max rate are taken as baseline): [RECOVERABLE_AMOUNT] [CURRENCY].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timekeeper_label
role_normalized
rates_observed
max_approved_rate
affected_line_nos
excess_amount</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 | Delegate to Internal Lawyer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Sum of (rate_charged − min_rate_observed) × hours for lines above the minimum, if differential is clear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Group Key</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inconsistent_rate_{timekeeper_label}</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Raise when the same timekeeper (matched by name) has ≥2 different rate_charged values on the same invoice. If ALL rates are below the panel max, raise as a warning (not error). If any rate is above the panel max, RATE_EXCESS should also fire — both rules can coexist.</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DAILY_HOURS_EXCEEDED</w:t>
            </w:r>
            <w:r>
              <w:rPr>
                <w:sz w:val="22"/>
                <w:szCs w:val="22"/>
              </w:rPr>
              <w:t xml:space="preserve">   </w:t>
            </w:r>
            <w:r>
              <w:rPr>
                <w:rFonts w:ascii="Arial" w:cs="Arial" w:eastAsia="Arial" w:hAnsi="Arial"/>
                <w:color w:val="FFFFFF"/>
                <w:sz w:val="20"/>
                <w:szCs w:val="20"/>
              </w:rPr>
              <w:t xml:space="preserve">Timekeeper bills more than 8 hours in a single day on this matter</w:t>
            </w:r>
          </w:p>
        </w:tc>
      </w:tr>
      <w:tr>
        <w:tc>
          <w:tcPr>
            <w:tcW w:type="dxa" w:w="1778"/>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OBJECTIVE</w:t>
            </w:r>
          </w:p>
        </w:tc>
        <w:tc>
          <w:tcPr>
            <w:tcW w:type="dxa" w:w="1778"/>
            <w:tcBorders>
              <w:top w:val="single" w:color="CCCCDD" w:sz="1"/>
              <w:left w:val="single" w:color="CCCCDD" w:sz="1"/>
              <w:bottom w:val="single" w:color="CCCCDD" w:sz="1"/>
              <w:right w:val="single" w:color="CCCCDD" w:sz="1"/>
            </w:tcBorders>
            <w:shd w:fill="CC22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ERROR</w:t>
            </w:r>
          </w:p>
        </w:tc>
        <w:tc>
          <w:tcPr>
            <w:tcW w:type="dxa" w:w="2059"/>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deterministic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invoice_item</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Invoice line items — work_date + timekeeper_label + hours (aggregated by day)
Panel T&amp;C — max_daily_hours_per_timekeeper (default: 8)</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[TIMEKEEPER] ([ROLE]) billed [TOTAL_HOURS]h on [DATE] across [N] line(s), exceeding the daily cap of [DAILY_CAP]h set in [SOURCE_DOCUMENT]. Excess: [EXCESS_HOURS]h. No prior written approval from Arcturus was recorded.</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timekeeper_label
role_raw
date
total_hours_on_date
daily_cap
excess_hours
affected_line_nos
source_document</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 | Delegate to Internal Lawyer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N/A — no automatic recovery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Aggregate all lines for the same timekeeper on the same work_date before evaluating. Default cap is 8h unless T&amp;C specifies otherwise in max_daily_hours_per_timekeeper. Do not raise if work_date is null for all lines — raise MISSING_LINE_DETAIL instead. No automatic recovery — the excess hours may be legitimate if pre-approved.</w:t>
            </w:r>
          </w:p>
        </w:tc>
      </w:tr>
    </w:tbl>
    <w:p>
      <w:pPr>
        <w:spacing w:before="60" w:after="60"/>
      </w:pPr>
      <w:r>
        <w:t xml:space="preserve"/>
      </w:r>
    </w:p>
    <w:p>
      <w:pPr>
        <w:spacing w:before="60" w:after="60"/>
      </w:pPr>
      <w:r>
        <w:t xml:space="preserve"/>
      </w:r>
    </w:p>
    <w:p>
      <w:r>
        <w:br w:type="page"/>
      </w:r>
    </w:p>
    <w:p>
      <w:pPr>
        <w:pStyle w:val="Heading1"/>
        <w:spacing w:before="400" w:after="140"/>
      </w:pPr>
      <w:r>
        <w:rPr>
          <w:rFonts w:ascii="Arial" w:cs="Arial" w:eastAsia="Arial" w:hAnsi="Arial"/>
          <w:b/>
          <w:bCs/>
          <w:color w:val="1A1A2E"/>
          <w:sz w:val="30"/>
          <w:szCs w:val="30"/>
        </w:rPr>
        <w:t xml:space="preserve">Grey Rules  (7)</w:t>
      </w:r>
    </w:p>
    <w:p>
      <w:pPr>
        <w:spacing w:before="60" w:after="60"/>
      </w:pPr>
      <w:r>
        <w:rPr>
          <w:rFonts w:ascii="Arial" w:cs="Arial" w:eastAsia="Arial" w:hAnsi="Arial"/>
          <w:b w:val="false"/>
          <w:bCs w:val="false"/>
          <w:i w:val="false"/>
          <w:iCs w:val="false"/>
          <w:color w:val="1A1A2E"/>
          <w:sz w:val="20"/>
          <w:szCs w:val="20"/>
        </w:rPr>
        <w:t xml:space="preserve">Evaluated by AI heuristic. Require human review. The AI provides reasoning and evidence but does not make the final decision.</w:t>
      </w:r>
    </w:p>
    <w:p>
      <w:pPr>
        <w:spacing w:before="60" w:after="60"/>
      </w:pPr>
      <w:r>
        <w:t xml:space="preserve"/>
      </w:r>
    </w:p>
    <w:p>
      <w:pPr>
        <w:spacing w:before="60" w:after="60"/>
      </w:pPr>
      <w:r>
        <w:rPr>
          <w:rFonts w:ascii="Arial" w:cs="Arial" w:eastAsia="Arial" w:hAnsi="Arial"/>
          <w:b w:val="false"/>
          <w:bCs w:val="false"/>
          <w:i/>
          <w:iCs/>
          <w:color w:val="404060"/>
          <w:sz w:val="20"/>
          <w:szCs w:val="20"/>
        </w:rPr>
        <w:t xml:space="preserve">AI call strategy for grey rules: evaluate only over candidate lines and relevant snippets — never re-send full documents. Use a single structured call per invoice for all grey rules simultaneously where possible.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EL_CONFLICT_WITH_PANEL_BASELINE</w:t>
            </w:r>
            <w:r>
              <w:rPr>
                <w:sz w:val="22"/>
                <w:szCs w:val="22"/>
              </w:rPr>
              <w:t xml:space="preserve">   </w:t>
            </w:r>
            <w:r>
              <w:rPr>
                <w:rFonts w:ascii="Arial" w:cs="Arial" w:eastAsia="Arial" w:hAnsi="Arial"/>
                <w:color w:val="FFFFFF"/>
                <w:sz w:val="20"/>
                <w:szCs w:val="20"/>
              </w:rPr>
              <w:t xml:space="preserve">Engagement Letter contradicts active Panel Rates or Panel T&amp;C</w:t>
            </w:r>
          </w:p>
        </w:tc>
      </w:tr>
      <w:tr>
        <w:tc>
          <w:tcPr>
            <w:tcW w:type="dxa" w:w="1778"/>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GRAY</w:t>
            </w:r>
          </w:p>
        </w:tc>
        <w:tc>
          <w:tcPr>
            <w:tcW w:type="dxa" w:w="1778"/>
            <w:tcBorders>
              <w:top w:val="single" w:color="CCCCDD" w:sz="1"/>
              <w:left w:val="single" w:color="CCCCDD" w:sz="1"/>
              <w:bottom w:val="single" w:color="CCCCDD" w:sz="1"/>
              <w:right w:val="single" w:color="CCCCDD" w:sz="1"/>
            </w:tcBorders>
            <w:shd w:fill="CC22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ERROR</w:t>
            </w:r>
          </w:p>
        </w:tc>
        <w:tc>
          <w:tcPr>
            <w:tcW w:type="dxa" w:w="2059"/>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heuristic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 / internal_lawyer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Active Panel Rates
Active Panel T&amp;C
Engagement Letter (uploaded for this invoice)</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The Engagement Letter for this matter contains terms that appear to conflict with the active Panel baseline. Specific conflict detected: [CONFLICT_DESCRIPTION]. Panel baseline source: [BASELINE_SOURCE]. EL term: [EL_TERM]. Per the Panel T&amp;C, the EL does not override the Panel baseline unless expressly approved in writing by Arcturus.</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conflict_type
baseline_source
baseline_value
el_source
el_value
conflict_description</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 | Delegate to Internal Lawyer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N/A — no automatic recovery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Typical conflicts: EL rate &gt; Panel max rate; EL scope contradicts T&amp;C expense policy; EL billing model differs from Panel T&amp;C. This rule does NOT fire for Non-Panel firms — for those, the EL is the baseline. Route to Internal Lawyer when the conflict involves substantive commercial terms (not just clerical discrepancies). The EL_CONFLICT should be raised at invoice level, not per line.</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HOURS_DISPROPORTIONATE</w:t>
            </w:r>
            <w:r>
              <w:rPr>
                <w:sz w:val="22"/>
                <w:szCs w:val="22"/>
              </w:rPr>
              <w:t xml:space="preserve">   </w:t>
            </w:r>
            <w:r>
              <w:rPr>
                <w:rFonts w:ascii="Arial" w:cs="Arial" w:eastAsia="Arial" w:hAnsi="Arial"/>
                <w:color w:val="FFFFFF"/>
                <w:sz w:val="20"/>
                <w:szCs w:val="20"/>
              </w:rPr>
              <w:t xml:space="preserve">Hours billed appear disproportionate for the role, task, or billing period</w:t>
            </w:r>
          </w:p>
        </w:tc>
      </w:tr>
      <w:tr>
        <w:tc>
          <w:tcPr>
            <w:tcW w:type="dxa" w:w="1778"/>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GRAY</w:t>
            </w:r>
          </w:p>
        </w:tc>
        <w:tc>
          <w:tcPr>
            <w:tcW w:type="dxa" w:w="1778"/>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WARNING</w:t>
            </w:r>
          </w:p>
        </w:tc>
        <w:tc>
          <w:tcPr>
            <w:tcW w:type="dxa" w:w="2059"/>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heuristic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invoice_item</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internal_lawyer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Invoice line items (hours, role, description)
Billing period (implicit from invoice month)</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[TIMEKEEPER] ([ROLE]) billed [TOTAL_HOURS]h on "[TASK_DESCRIPTION]" during [BILLING_PERIOD]. For a [ROLE], this volume of hours on a single task in one period is [UNUSUAL / POTENTIALLY INFLATED]. [AI_REASONING]</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timekeeper_label
role_normalized
total_hours
billing_period
task_description
heuristic_reasoning</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 | Delegate to Internal Lawyer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N/A — no automatic recovery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Evaluated by AI heuristic — not deterministic. Typical triggers: junior timekeeper with very high monthly hours on one task (e.g. &gt;100h); hours inconsistent with the described task complexity. Always route to Internal Lawyer — Legal Ops should not resolve alone. AI explanation must be specific: reference the role, the hours, and the task.</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PARALLEL_BILLING</w:t>
            </w:r>
            <w:r>
              <w:rPr>
                <w:sz w:val="22"/>
                <w:szCs w:val="22"/>
              </w:rPr>
              <w:t xml:space="preserve">   </w:t>
            </w:r>
            <w:r>
              <w:rPr>
                <w:rFonts w:ascii="Arial" w:cs="Arial" w:eastAsia="Arial" w:hAnsi="Arial"/>
                <w:color w:val="FFFFFF"/>
                <w:sz w:val="20"/>
                <w:szCs w:val="20"/>
              </w:rPr>
              <w:t xml:space="preserve">Multiple timekeepers appear to have billed for the same or overlapping work</w:t>
            </w:r>
          </w:p>
        </w:tc>
      </w:tr>
      <w:tr>
        <w:tc>
          <w:tcPr>
            <w:tcW w:type="dxa" w:w="1778"/>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GRAY</w:t>
            </w:r>
          </w:p>
        </w:tc>
        <w:tc>
          <w:tcPr>
            <w:tcW w:type="dxa" w:w="1778"/>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WARNING</w:t>
            </w:r>
          </w:p>
        </w:tc>
        <w:tc>
          <w:tcPr>
            <w:tcW w:type="dxa" w:w="2059"/>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heuristic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invoice_item</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internal_lawyer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Invoice line items (date, description, multiple timekeepers)</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On [DATE], [N] timekeepers billed for tasks with similar or overlapping descriptions: [TIMEKEEPER_LIST]. Total hours billed across these lines: [TOTAL_HOURS]h for combined amount of [TOTAL_AMOUNT] [CURRENCY]. [AI_REASONING]</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date
timekeeper_list
descriptions
hours_each
amounts_each
total_hours
total_amount
heuristic_reasoning</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 | Delegate to Internal Lawyer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N/A — no automatic recovery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Evaluated by AI. Trigger: same date, ≥2 timekeepers, description similarity above threshold. Distinct from MEETING_OVERSTAFFING (which is about attending the same meeting). Do not raise if descriptions are clearly different tasks performed on the same day.</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SCOPE_CREEP</w:t>
            </w:r>
            <w:r>
              <w:rPr>
                <w:sz w:val="22"/>
                <w:szCs w:val="22"/>
              </w:rPr>
              <w:t xml:space="preserve">   </w:t>
            </w:r>
            <w:r>
              <w:rPr>
                <w:rFonts w:ascii="Arial" w:cs="Arial" w:eastAsia="Arial" w:hAnsi="Arial"/>
                <w:color w:val="FFFFFF"/>
                <w:sz w:val="20"/>
                <w:szCs w:val="20"/>
              </w:rPr>
              <w:t xml:space="preserve">Work described appears to fall outside the agreed engagement scope</w:t>
            </w:r>
          </w:p>
        </w:tc>
      </w:tr>
      <w:tr>
        <w:tc>
          <w:tcPr>
            <w:tcW w:type="dxa" w:w="1778"/>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GRAY</w:t>
            </w:r>
          </w:p>
        </w:tc>
        <w:tc>
          <w:tcPr>
            <w:tcW w:type="dxa" w:w="1778"/>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WARNING</w:t>
            </w:r>
          </w:p>
        </w:tc>
        <w:tc>
          <w:tcPr>
            <w:tcW w:type="dxa" w:w="2059"/>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heuristic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invoice_item</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internal_lawyer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Engagement Letter — scope of services section
Invoice line item descriptions</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Line [LINE_NO] describes work ("[DESCRIPTION]") that does not appear to fall within the agreed scope of the Engagement Letter dated [EL_DATE] for [MATTER_NAME]. The agreed scope covers: [EL_SCOPE_SUMMARY]. [AI_REASONING]</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line_no
description
el_scope_summary
el_date
matter_name
heuristic_reasoning</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 | Delegate to Internal Lawyer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N/A — no automatic recovery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Requires EL to be present — do not raise without an EL. AI compares line description against EL scope section. Threshold should be conservative — only flag when scope deviation is material, not for minor tangential work. Route to Internal Lawyer who instructed the matter.</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SENIORITY_OVERKILL</w:t>
            </w:r>
            <w:r>
              <w:rPr>
                <w:sz w:val="22"/>
                <w:szCs w:val="22"/>
              </w:rPr>
              <w:t xml:space="preserve">   </w:t>
            </w:r>
            <w:r>
              <w:rPr>
                <w:rFonts w:ascii="Arial" w:cs="Arial" w:eastAsia="Arial" w:hAnsi="Arial"/>
                <w:color w:val="FFFFFF"/>
                <w:sz w:val="20"/>
                <w:szCs w:val="20"/>
              </w:rPr>
              <w:t xml:space="preserve">A senior profile appears to be used for a task that could be handled by a more junior timekeeper</w:t>
            </w:r>
          </w:p>
        </w:tc>
      </w:tr>
      <w:tr>
        <w:tc>
          <w:tcPr>
            <w:tcW w:type="dxa" w:w="1778"/>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GRAY</w:t>
            </w:r>
          </w:p>
        </w:tc>
        <w:tc>
          <w:tcPr>
            <w:tcW w:type="dxa" w:w="1778"/>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WARNING</w:t>
            </w:r>
          </w:p>
        </w:tc>
        <w:tc>
          <w:tcPr>
            <w:tcW w:type="dxa" w:w="2059"/>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heuristic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invoice_item</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internal_lawyer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Invoice line items (role, description, hours)</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Line [LINE_NO]: [TIMEKEEPER] ([ROLE], [RATE] [CURRENCY]/h) billed [HOURS]h for "[DESCRIPTION]". This task appears to be routine or administrative in nature and could typically be handled by a more junior timekeeper at a lower rate. [AI_REASONING]</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line_no
timekeeper_label
role_normalized
rate_charged
hours
amount
description
heuristic_reasoning</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 | Delegate to Internal Lawyer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N/A — no automatic recovery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Evaluated by AI. Examples of typical triggers: Partner billing hours for document indexing, scheduling, or proofreading; Senior Associate billing for registry searches. Do not raise for tasks where seniority is genuinely required (client-facing strategy, complex advice). Always route to Internal Lawyer — context is critical.</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ESTIMATE_EXCESS</w:t>
            </w:r>
            <w:r>
              <w:rPr>
                <w:sz w:val="22"/>
                <w:szCs w:val="22"/>
              </w:rPr>
              <w:t xml:space="preserve">   </w:t>
            </w:r>
            <w:r>
              <w:rPr>
                <w:rFonts w:ascii="Arial" w:cs="Arial" w:eastAsia="Arial" w:hAnsi="Arial"/>
                <w:color w:val="FFFFFF"/>
                <w:sz w:val="20"/>
                <w:szCs w:val="20"/>
              </w:rPr>
              <w:t xml:space="preserve">Invoice or cumulative billing exceeds the fee estimate in the Engagement Letter or Budget Estimate</w:t>
            </w:r>
          </w:p>
        </w:tc>
      </w:tr>
      <w:tr>
        <w:tc>
          <w:tcPr>
            <w:tcW w:type="dxa" w:w="1778"/>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GRAY</w:t>
            </w:r>
          </w:p>
        </w:tc>
        <w:tc>
          <w:tcPr>
            <w:tcW w:type="dxa" w:w="1778"/>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WARNING</w:t>
            </w:r>
          </w:p>
        </w:tc>
        <w:tc>
          <w:tcPr>
            <w:tcW w:type="dxa" w:w="2059"/>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heuristic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internal_lawyer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Engagement Letter — budget estimate amount (if present)
OR Budget Estimate document (if uploaded separately)
Cumulative billing history for this matter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The fee estimate for this matter was [ESTIMATE_AMOUNT] [CURRENCY] (source: [SOURCE_DOCUMENT], dated [SOURCE_DATE]). Cumulative fees billed on this matter to date (including this invoice) total [CUMULATIVE_FEES] [CURRENCY], exceeding the estimate by [EXCESS] [CURRENCY] ([EXCESS_PCT]%). The Law Firm [HAS / HAS NOT] provided a revised estimate or explanation for this deviation.</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estimate_amount
source_document
source_date
cumulative_fees
excess_amount
excess_pct
revised_estimate_provided</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 | Delegate to Internal Lawyer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N/A — no automatic recovery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Only fires when an estimate figure is available (from EL or Budget Estimate document). Do not raise if no estimate was set. Route to Internal Lawyer — they are best placed to assess whether the additional work was justified. This is a warning, not an automatic rejection.</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INTERNAL_COORDINATION</w:t>
            </w:r>
            <w:r>
              <w:rPr>
                <w:sz w:val="22"/>
                <w:szCs w:val="22"/>
              </w:rPr>
              <w:t xml:space="preserve">   </w:t>
            </w:r>
            <w:r>
              <w:rPr>
                <w:rFonts w:ascii="Arial" w:cs="Arial" w:eastAsia="Arial" w:hAnsi="Arial"/>
                <w:color w:val="FFFFFF"/>
                <w:sz w:val="20"/>
                <w:szCs w:val="20"/>
              </w:rPr>
              <w:t xml:space="preserve">Possible internal firm coordination billed to the client</w:t>
            </w:r>
          </w:p>
        </w:tc>
      </w:tr>
      <w:tr>
        <w:tc>
          <w:tcPr>
            <w:tcW w:type="dxa" w:w="1778"/>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GRAY</w:t>
            </w:r>
          </w:p>
        </w:tc>
        <w:tc>
          <w:tcPr>
            <w:tcW w:type="dxa" w:w="1778"/>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WARNING</w:t>
            </w:r>
          </w:p>
        </w:tc>
        <w:tc>
          <w:tcPr>
            <w:tcW w:type="dxa" w:w="2059"/>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heuristic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invoice_item</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internal_lawyer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Invoice line items (description)</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Line [LINE_NO]: [TIMEKEEPER] ([ROLE]) billed [HOURS]h for "[DESCRIPTION]". This description suggests internal coordination, team meetings, or knowledge transfer between firm lawyers, which may not be billable under the T&amp;C. [AI_REASONING]</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line_no
timekeeper_label
role_normalized
hours
amount
description
heuristic_reasoning</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 | Delegate to Internal Lawyer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N/A — no automatic recovery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Evaluated by AI. Trigger keywords: "internal call", "team meeting", "knowledge transfer", "onboarding", "catch-up with [colleague]". Distinguish from legitimate client-facing coordination. Route to Internal Lawyer who can confirm whether the internal coordination was instructed by Arcturus.</w:t>
            </w:r>
          </w:p>
        </w:tc>
      </w:tr>
    </w:tbl>
    <w:p>
      <w:pPr>
        <w:spacing w:before="60" w:after="60"/>
      </w:pPr>
      <w:r>
        <w:t xml:space="preserve"/>
      </w:r>
    </w:p>
    <w:p>
      <w:pPr>
        <w:spacing w:before="60" w:after="60"/>
      </w:pPr>
      <w:r>
        <w:t xml:space="preserve"/>
      </w:r>
    </w:p>
    <w:p>
      <w:r>
        <w:br w:type="page"/>
      </w:r>
    </w:p>
    <w:p>
      <w:pPr>
        <w:pStyle w:val="Heading1"/>
        <w:spacing w:before="400" w:after="140"/>
      </w:pPr>
      <w:r>
        <w:rPr>
          <w:rFonts w:ascii="Arial" w:cs="Arial" w:eastAsia="Arial" w:hAnsi="Arial"/>
          <w:b/>
          <w:bCs/>
          <w:color w:val="1A1A2E"/>
          <w:sz w:val="30"/>
          <w:szCs w:val="30"/>
        </w:rPr>
        <w:t xml:space="preserve">Configurable Rule  (1)</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MEETING_OVERSTAFFING</w:t>
            </w:r>
            <w:r>
              <w:rPr>
                <w:sz w:val="22"/>
                <w:szCs w:val="22"/>
              </w:rPr>
              <w:t xml:space="preserve">   </w:t>
            </w:r>
            <w:r>
              <w:rPr>
                <w:rFonts w:ascii="Arial" w:cs="Arial" w:eastAsia="Arial" w:hAnsi="Arial"/>
                <w:color w:val="FFFFFF"/>
                <w:sz w:val="20"/>
                <w:szCs w:val="20"/>
              </w:rPr>
              <w:t xml:space="preserve">Excessive number of timekeepers billed for the same meeting or call</w:t>
            </w:r>
          </w:p>
        </w:tc>
      </w:tr>
      <w:tr>
        <w:tc>
          <w:tcPr>
            <w:tcW w:type="dxa" w:w="1778"/>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CONFIGURABLE</w:t>
            </w:r>
          </w:p>
        </w:tc>
        <w:tc>
          <w:tcPr>
            <w:tcW w:type="dxa" w:w="1778"/>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WARNING</w:t>
            </w:r>
          </w:p>
        </w:tc>
        <w:tc>
          <w:tcPr>
            <w:tcW w:type="dxa" w:w="2059"/>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deterministic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invoice_item</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 → internal_lawyer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Invoice line items (date, description — keyword match for meeting/call)
Configuration: overstaffing_threshold (default: 3–5 timekeepers)</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On [DATE], [N] timekeepers billed for attendance at what appears to be the same meeting or call: [TIMEKEEPER_LIST]. The configured threshold for this matter is [THRESHOLD]. Total amount for these lines: [TOTAL_AMOUNT] [CURRENCY].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date
meeting_description
timekeeper_list
hours_each
amounts_each
total_amount
threshold_used</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Accept | Reject | Delegate to Internal Lawyer</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N/A — no automatic recovery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Threshold is configurable per matter or globally by Super Admin. Default initial threshold: 3 timekeepers. Detection: same date + description contains "meeting", "call", "conference", "hearing", "session", or equivalent. Do not raise if N ≤ threshold.</w:t>
            </w:r>
          </w:p>
        </w:tc>
      </w:tr>
    </w:tbl>
    <w:p>
      <w:pPr>
        <w:spacing w:before="60" w:after="60"/>
      </w:pPr>
      <w:r>
        <w:t xml:space="preserve"/>
      </w:r>
    </w:p>
    <w:p>
      <w:pPr>
        <w:pBdr>
          <w:bottom w:val="single" w:color="CCCCDD" w:sz="2"/>
        </w:pBdr>
        <w:spacing w:before="160" w:after="160"/>
      </w:pPr>
      <w:r>
        <w:t xml:space="preserve"/>
      </w:r>
    </w:p>
    <w:p>
      <w:pPr>
        <w:pStyle w:val="Heading1"/>
        <w:spacing w:before="400" w:after="140"/>
      </w:pPr>
      <w:r>
        <w:rPr>
          <w:rFonts w:ascii="Arial" w:cs="Arial" w:eastAsia="Arial" w:hAnsi="Arial"/>
          <w:b/>
          <w:bCs/>
          <w:color w:val="1A1A2E"/>
          <w:sz w:val="30"/>
          <w:szCs w:val="30"/>
        </w:rPr>
        <w:t xml:space="preserve">Metadata Warnings  (2)</w:t>
      </w:r>
    </w:p>
    <w:p>
      <w:pPr>
        <w:spacing w:before="60" w:after="60"/>
      </w:pPr>
      <w:r>
        <w:rPr>
          <w:rFonts w:ascii="Arial" w:cs="Arial" w:eastAsia="Arial" w:hAnsi="Arial"/>
          <w:b w:val="false"/>
          <w:bCs w:val="false"/>
          <w:i w:val="false"/>
          <w:iCs w:val="false"/>
          <w:color w:val="1A1A2E"/>
          <w:sz w:val="20"/>
          <w:szCs w:val="20"/>
        </w:rPr>
        <w:t xml:space="preserve">Raised by the completeness gate or during extraction — not as post-analysis issues in the standard issues table. Displayed prominently in the invoice detail view.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JURISDICTION_UNCLEAR</w:t>
            </w:r>
            <w:r>
              <w:rPr>
                <w:sz w:val="22"/>
                <w:szCs w:val="22"/>
              </w:rPr>
              <w:t xml:space="preserve">   </w:t>
            </w:r>
            <w:r>
              <w:rPr>
                <w:rFonts w:ascii="Arial" w:cs="Arial" w:eastAsia="Arial" w:hAnsi="Arial"/>
                <w:color w:val="FFFFFF"/>
                <w:sz w:val="20"/>
                <w:szCs w:val="20"/>
              </w:rPr>
              <w:t xml:space="preserve">Jurisdiction or applicable law is missing when relevant to rate matching</w:t>
            </w:r>
          </w:p>
        </w:tc>
      </w:tr>
      <w:tr>
        <w:tc>
          <w:tcPr>
            <w:tcW w:type="dxa" w:w="1778"/>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METADATA</w:t>
            </w:r>
          </w:p>
        </w:tc>
        <w:tc>
          <w:tcPr>
            <w:tcW w:type="dxa" w:w="1778"/>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WARNING</w:t>
            </w:r>
          </w:p>
        </w:tc>
        <w:tc>
          <w:tcPr>
            <w:tcW w:type="dxa" w:w="2059"/>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deterministic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Invoice extracted fields: jurisdiction, applicable_law</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The jurisdiction or applicable law for this invoice could not be determined from the invoice or supporting documents. This information is required to correctly apply the rate schedule ([FIRM] has rates varying by jurisdiction). Rules that may be affected: RATE_EXCESS, RATE_CARD_EXPIRED_OR_MISSING.</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jurisdiction_extracted
applicable_law_extracted
affected_rules</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Complete jurisdiction field manually and re-run</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N/A — no automatic recovery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This is a metadata warning — raise before or during analysis. Only fires for firms that have multiple jurisdiction entries in Panel Rates. If jurisdiction can be inferred with high confidence, use inferred value and do not raise.</w:t>
            </w:r>
          </w:p>
        </w:tc>
      </w:tr>
    </w:tbl>
    <w:p>
      <w:pPr>
        <w:spacing w:before="60" w:after="60"/>
      </w:pPr>
      <w:r>
        <w:t xml:space="preserve"/>
      </w:r>
    </w:p>
    <w:p>
      <w:pPr>
        <w:pBdr>
          <w:bottom w:val="single" w:color="CCCCDD" w:sz="2"/>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2"/>
            <w:tcBorders>
              <w:top w:val="single" w:color="CCCCDD" w:sz="1"/>
              <w:left w:val="single" w:color="CCCCDD" w:sz="1"/>
              <w:bottom w:val="single" w:color="CCCCDD" w:sz="1"/>
              <w:right w:val="single" w:color="CCCCDD" w:sz="1"/>
            </w:tcBorders>
            <w:shd w:fill="1A1A2E" w:val="clear"/>
            <w:tcMar>
              <w:top w:type="dxa" w:w="100"/>
              <w:left w:type="dxa" w:w="160"/>
              <w:bottom w:type="dxa" w:w="100"/>
              <w:right w:type="dxa" w:w="160"/>
            </w:tcMar>
          </w:tcPr>
          <w:p>
            <w:r>
              <w:rPr>
                <w:rFonts w:ascii="Courier New" w:cs="Courier New" w:eastAsia="Courier New" w:hAnsi="Courier New"/>
                <w:b/>
                <w:bCs/>
                <w:color w:val="FFDD88"/>
                <w:sz w:val="22"/>
                <w:szCs w:val="22"/>
              </w:rPr>
              <w:t xml:space="preserve">MISSING_LINE_DETAIL</w:t>
            </w:r>
            <w:r>
              <w:rPr>
                <w:sz w:val="22"/>
                <w:szCs w:val="22"/>
              </w:rPr>
              <w:t xml:space="preserve">   </w:t>
            </w:r>
            <w:r>
              <w:rPr>
                <w:rFonts w:ascii="Arial" w:cs="Arial" w:eastAsia="Arial" w:hAnsi="Arial"/>
                <w:color w:val="FFFFFF"/>
                <w:sz w:val="20"/>
                <w:szCs w:val="20"/>
              </w:rPr>
              <w:t xml:space="preserve">Invoice lacks per-line breakdown — some rules cannot be applied at line level</w:t>
            </w:r>
          </w:p>
        </w:tc>
      </w:tr>
      <w:tr>
        <w:tc>
          <w:tcPr>
            <w:tcW w:type="dxa" w:w="1778"/>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Type: METADATA</w:t>
            </w:r>
          </w:p>
        </w:tc>
        <w:tc>
          <w:tcPr>
            <w:tcW w:type="dxa" w:w="1778"/>
            <w:tcBorders>
              <w:top w:val="single" w:color="CCCCDD" w:sz="1"/>
              <w:left w:val="single" w:color="CCCCDD" w:sz="1"/>
              <w:bottom w:val="single" w:color="CCCCDD" w:sz="1"/>
              <w:right w:val="single" w:color="CCCCDD" w:sz="1"/>
            </w:tcBorders>
            <w:shd w:fill="B05A0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Severity: WARNING</w:t>
            </w:r>
          </w:p>
        </w:tc>
        <w:tc>
          <w:tcPr>
            <w:tcW w:type="dxa" w:w="2059"/>
            <w:tcBorders>
              <w:top w:val="single" w:color="CCCCDD" w:sz="1"/>
              <w:left w:val="single" w:color="CCCCDD" w:sz="1"/>
              <w:bottom w:val="single" w:color="CCCCDD" w:sz="1"/>
              <w:right w:val="single" w:color="CCCCDD" w:sz="1"/>
            </w:tcBorders>
            <w:shd w:fill="1A5C2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Evaluator: deterministic</w:t>
            </w:r>
          </w:p>
        </w:tc>
        <w:tc>
          <w:tcPr>
            <w:tcW w:type="dxa" w:w="2059"/>
            <w:tcBorders>
              <w:top w:val="single" w:color="CCCCDD" w:sz="1"/>
              <w:left w:val="single" w:color="CCCCDD" w:sz="1"/>
              <w:bottom w:val="single" w:color="CCCCDD" w:sz="1"/>
              <w:right w:val="single" w:color="CCCCDD" w:sz="1"/>
            </w:tcBorders>
            <w:shd w:fill="404060"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Scope: invoice</w:t>
            </w:r>
          </w:p>
        </w:tc>
        <w:tc>
          <w:tcPr>
            <w:tcW w:type="dxa" w:w="1684"/>
            <w:tcBorders>
              <w:top w:val="single" w:color="CCCCDD" w:sz="1"/>
              <w:left w:val="single" w:color="CCCCDD" w:sz="1"/>
              <w:bottom w:val="single" w:color="CCCCDD" w:sz="1"/>
              <w:right w:val="single" w:color="CCCCDD" w:sz="1"/>
            </w:tcBorders>
            <w:shd w:fill="4A1A6E" w:val="clear"/>
            <w:tcMar>
              <w:top w:type="dxa" w:w="80"/>
              <w:left w:type="dxa" w:w="120"/>
              <w:bottom w:type="dxa" w:w="80"/>
              <w:right w:type="dxa" w:w="120"/>
            </w:tcMar>
          </w:tcPr>
          <w:p>
            <w:pPr>
              <w:jc w:val="center"/>
            </w:pPr>
            <w:r>
              <w:rPr>
                <w:rFonts w:ascii="Arial" w:cs="Arial" w:eastAsia="Arial" w:hAnsi="Arial"/>
                <w:b/>
                <w:bCs/>
                <w:i w:val="false"/>
                <w:iCs w:val="false"/>
                <w:color w:val="FFFFFF"/>
                <w:sz w:val="17"/>
                <w:szCs w:val="17"/>
              </w:rPr>
              <w:t xml:space="preserve">Route: legal_ops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 Sources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Invoice line items</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Explanation Template</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This invoice does not contain a per-line breakdown with individual dates, hours, and rates per timekeeper. Only summary-level information is available. The following rules cannot be evaluated at line level and will be skipped or applied at summary level only: RATE_EXCESS, DUPLICATE_LINE, ARITHMETIC_ERROR, DAILY_HOURS_EXCEEDED, PARALLEL_BILLING, HOURS_DISPROPORTIONATE.</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Evidence Fields</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line_item_count
has_dates
has_hours
has_rates
summary_only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Suggested Actions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Request detailed timesheet from law firm</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Recovery Formula</w:t>
            </w:r>
          </w:p>
        </w:tc>
        <w:tc>
          <w:tcPr>
            <w:tcW w:type="dxa" w:w="696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N/A — no automatic recovery</w:t>
            </w:r>
          </w:p>
        </w:tc>
      </w:tr>
      <w:tr>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Implementation Notes</w:t>
            </w:r>
          </w:p>
        </w:tc>
        <w:tc>
          <w:tcPr>
            <w:tcW w:type="dxa" w:w="696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Do not block analysis — allow it to proceed with available data. Invoice-level rules (FIXED_SCOPE_AMOUNT_MISMATCH, VOLUME_DISCOUNT_NOT_APPLIED, etc.) can still run. This warning should appear prominently in the invoice detail view.</w:t>
            </w:r>
          </w:p>
        </w:tc>
      </w:tr>
    </w:tbl>
    <w:p>
      <w:pPr>
        <w:spacing w:before="60" w:after="60"/>
      </w:pPr>
      <w:r>
        <w:t xml:space="preserve"/>
      </w:r>
    </w:p>
    <w:p>
      <w:r>
        <w:br w:type="page"/>
      </w:r>
    </w:p>
    <w:p>
      <w:pPr>
        <w:pStyle w:val="Heading1"/>
        <w:spacing w:before="400" w:after="140"/>
      </w:pPr>
      <w:r>
        <w:rPr>
          <w:rFonts w:ascii="Arial" w:cs="Arial" w:eastAsia="Arial" w:hAnsi="Arial"/>
          <w:b/>
          <w:bCs/>
          <w:color w:val="1A1A2E"/>
          <w:sz w:val="30"/>
          <w:szCs w:val="30"/>
        </w:rPr>
        <w:t xml:space="preserve">Rule Evaluation Order</w:t>
      </w:r>
    </w:p>
    <w:p>
      <w:pPr>
        <w:spacing w:before="60" w:after="60"/>
      </w:pPr>
      <w:r>
        <w:rPr>
          <w:rFonts w:ascii="Arial" w:cs="Arial" w:eastAsia="Arial" w:hAnsi="Arial"/>
          <w:b w:val="false"/>
          <w:bCs w:val="false"/>
          <w:i w:val="false"/>
          <w:iCs w:val="false"/>
          <w:color w:val="1A1A2E"/>
          <w:sz w:val="20"/>
          <w:szCs w:val="20"/>
        </w:rPr>
        <w:t xml:space="preserve">Rules must be evaluated in the following order to ensure correct dependency handling: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4320"/>
        <w:gridCol w:w="1920"/>
      </w:tblGrid>
      <w:tr>
        <w:tc>
          <w:tcPr>
            <w:tcW w:type="dxa" w:w="72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t>
            </w:r>
          </w:p>
        </w:tc>
        <w:tc>
          <w:tcPr>
            <w:tcW w:type="dxa" w:w="240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Rule</w:t>
            </w:r>
          </w:p>
        </w:tc>
        <w:tc>
          <w:tcPr>
            <w:tcW w:type="dxa" w:w="432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Notes</w:t>
            </w:r>
          </w:p>
        </w:tc>
        <w:tc>
          <w:tcPr>
            <w:tcW w:type="dxa" w:w="1920"/>
            <w:tcBorders>
              <w:top w:val="single" w:color="CCCCDD" w:sz="1"/>
              <w:left w:val="single" w:color="CCCCDD" w:sz="1"/>
              <w:bottom w:val="single" w:color="CCCCDD" w:sz="1"/>
              <w:right w:val="single" w:color="CCCCDD" w:sz="1"/>
            </w:tcBorders>
            <w:shd w:fill="1A1A2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r>
      <w:tr>
        <w:tc>
          <w:tcPr>
            <w:tcW w:type="dxa" w:w="7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1</w:t>
            </w:r>
          </w:p>
        </w:tc>
        <w:tc>
          <w:tcPr>
            <w:tcW w:type="dxa" w:w="2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REQUIRED_SOURCE_MISSING</w:t>
            </w:r>
          </w:p>
        </w:tc>
        <w:tc>
          <w:tcPr>
            <w:tcW w:type="dxa" w:w="43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Gate check — blocks analysis if critical sources absent</w:t>
            </w:r>
          </w:p>
        </w:tc>
        <w:tc>
          <w:tcPr>
            <w:tcW w:type="dxa" w:w="19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Pre-analysis gate</w:t>
            </w:r>
          </w:p>
        </w:tc>
      </w:tr>
      <w:tr>
        <w:tc>
          <w:tcPr>
            <w:tcW w:type="dxa" w:w="7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w:t>
            </w:r>
          </w:p>
        </w:tc>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MISSING_DOCUMENTS_FIXED_SCOPE</w:t>
            </w:r>
          </w:p>
        </w:tc>
        <w:tc>
          <w:tcPr>
            <w:tcW w:type="dxa" w:w="43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Gate check — blocks Fixed Scope invoices without EL</w:t>
            </w:r>
          </w:p>
        </w:tc>
        <w:tc>
          <w:tcPr>
            <w:tcW w:type="dxa" w:w="19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Pre-analysis gate</w:t>
            </w:r>
          </w:p>
        </w:tc>
      </w:tr>
      <w:tr>
        <w:tc>
          <w:tcPr>
            <w:tcW w:type="dxa" w:w="7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3</w:t>
            </w:r>
          </w:p>
        </w:tc>
        <w:tc>
          <w:tcPr>
            <w:tcW w:type="dxa" w:w="2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JURISDICTION_UNCLEAR</w:t>
            </w:r>
          </w:p>
        </w:tc>
        <w:tc>
          <w:tcPr>
            <w:tcW w:type="dxa" w:w="43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Metadata warning — raised before rate checks</w:t>
            </w:r>
          </w:p>
        </w:tc>
        <w:tc>
          <w:tcPr>
            <w:tcW w:type="dxa" w:w="19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Pre-analysis gate</w:t>
            </w:r>
          </w:p>
        </w:tc>
      </w:tr>
      <w:tr>
        <w:tc>
          <w:tcPr>
            <w:tcW w:type="dxa" w:w="7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4</w:t>
            </w:r>
          </w:p>
        </w:tc>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MISSING_LINE_DETAIL</w:t>
            </w:r>
          </w:p>
        </w:tc>
        <w:tc>
          <w:tcPr>
            <w:tcW w:type="dxa" w:w="43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Metadata warning — affects which rules can run</w:t>
            </w:r>
          </w:p>
        </w:tc>
        <w:tc>
          <w:tcPr>
            <w:tcW w:type="dxa" w:w="19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Extraction phase</w:t>
            </w:r>
          </w:p>
        </w:tc>
      </w:tr>
      <w:tr>
        <w:tc>
          <w:tcPr>
            <w:tcW w:type="dxa" w:w="7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5</w:t>
            </w:r>
          </w:p>
        </w:tc>
        <w:tc>
          <w:tcPr>
            <w:tcW w:type="dxa" w:w="2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Role normalisation</w:t>
            </w:r>
          </w:p>
        </w:tc>
        <w:tc>
          <w:tcPr>
            <w:tcW w:type="dxa" w:w="43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Prerequisite for all rate-based rules</w:t>
            </w:r>
          </w:p>
        </w:tc>
        <w:tc>
          <w:tcPr>
            <w:tcW w:type="dxa" w:w="19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Extraction phase</w:t>
            </w:r>
          </w:p>
        </w:tc>
      </w:tr>
      <w:tr>
        <w:tc>
          <w:tcPr>
            <w:tcW w:type="dxa" w:w="7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6</w:t>
            </w:r>
          </w:p>
        </w:tc>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WRONG_CURRENCY</w:t>
            </w:r>
          </w:p>
        </w:tc>
        <w:tc>
          <w:tcPr>
            <w:tcW w:type="dxa" w:w="43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Invoice-level check before line-level checks</w:t>
            </w:r>
          </w:p>
        </w:tc>
        <w:tc>
          <w:tcPr>
            <w:tcW w:type="dxa" w:w="19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Invoice level</w:t>
            </w:r>
          </w:p>
        </w:tc>
      </w:tr>
      <w:tr>
        <w:tc>
          <w:tcPr>
            <w:tcW w:type="dxa" w:w="7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7</w:t>
            </w:r>
          </w:p>
        </w:tc>
        <w:tc>
          <w:tcPr>
            <w:tcW w:type="dxa" w:w="2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FIXED_SCOPE_AMOUNT_MISMATCH</w:t>
            </w:r>
          </w:p>
        </w:tc>
        <w:tc>
          <w:tcPr>
            <w:tcW w:type="dxa" w:w="43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Invoice-level — applies to whole invoice</w:t>
            </w:r>
          </w:p>
        </w:tc>
        <w:tc>
          <w:tcPr>
            <w:tcW w:type="dxa" w:w="19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Invoice level</w:t>
            </w:r>
          </w:p>
        </w:tc>
      </w:tr>
      <w:tr>
        <w:tc>
          <w:tcPr>
            <w:tcW w:type="dxa" w:w="7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8</w:t>
            </w:r>
          </w:p>
        </w:tc>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LINE_ITEMS_IN_FIXED_SCOPE</w:t>
            </w:r>
          </w:p>
        </w:tc>
        <w:tc>
          <w:tcPr>
            <w:tcW w:type="dxa" w:w="43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Invoice-level — detect inappropriate breakdowns</w:t>
            </w:r>
          </w:p>
        </w:tc>
        <w:tc>
          <w:tcPr>
            <w:tcW w:type="dxa" w:w="19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Invoice level</w:t>
            </w:r>
          </w:p>
        </w:tc>
      </w:tr>
      <w:tr>
        <w:tc>
          <w:tcPr>
            <w:tcW w:type="dxa" w:w="7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9</w:t>
            </w:r>
          </w:p>
        </w:tc>
        <w:tc>
          <w:tcPr>
            <w:tcW w:type="dxa" w:w="2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RATE_CARD_EXPIRED_OR_MISSING</w:t>
            </w:r>
          </w:p>
        </w:tc>
        <w:tc>
          <w:tcPr>
            <w:tcW w:type="dxa" w:w="43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Must run before RATE_EXCESS</w:t>
            </w:r>
          </w:p>
        </w:tc>
        <w:tc>
          <w:tcPr>
            <w:tcW w:type="dxa" w:w="19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Line level</w:t>
            </w:r>
          </w:p>
        </w:tc>
      </w:tr>
      <w:tr>
        <w:tc>
          <w:tcPr>
            <w:tcW w:type="dxa" w:w="7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10</w:t>
            </w:r>
          </w:p>
        </w:tc>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LAWYER_ROLE_MISMATCH</w:t>
            </w:r>
          </w:p>
        </w:tc>
        <w:tc>
          <w:tcPr>
            <w:tcW w:type="dxa" w:w="43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Must run before RATE_EXCESS — blocks it if role unknown</w:t>
            </w:r>
          </w:p>
        </w:tc>
        <w:tc>
          <w:tcPr>
            <w:tcW w:type="dxa" w:w="19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Line level</w:t>
            </w:r>
          </w:p>
        </w:tc>
      </w:tr>
      <w:tr>
        <w:tc>
          <w:tcPr>
            <w:tcW w:type="dxa" w:w="7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11</w:t>
            </w:r>
          </w:p>
        </w:tc>
        <w:tc>
          <w:tcPr>
            <w:tcW w:type="dxa" w:w="2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RATE_EXCESS</w:t>
            </w:r>
          </w:p>
        </w:tc>
        <w:tc>
          <w:tcPr>
            <w:tcW w:type="dxa" w:w="43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Core objective rule</w:t>
            </w:r>
          </w:p>
        </w:tc>
        <w:tc>
          <w:tcPr>
            <w:tcW w:type="dxa" w:w="19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Line level</w:t>
            </w:r>
          </w:p>
        </w:tc>
      </w:tr>
      <w:tr>
        <w:tc>
          <w:tcPr>
            <w:tcW w:type="dxa" w:w="7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12</w:t>
            </w:r>
          </w:p>
        </w:tc>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INCONSISTENT_RATE_FOR_SAME_TIMEKEEPER</w:t>
            </w:r>
          </w:p>
        </w:tc>
        <w:tc>
          <w:tcPr>
            <w:tcW w:type="dxa" w:w="43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Requires all lines to be processed first</w:t>
            </w:r>
          </w:p>
        </w:tc>
        <w:tc>
          <w:tcPr>
            <w:tcW w:type="dxa" w:w="19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Line level</w:t>
            </w:r>
          </w:p>
        </w:tc>
      </w:tr>
      <w:tr>
        <w:tc>
          <w:tcPr>
            <w:tcW w:type="dxa" w:w="7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13</w:t>
            </w:r>
          </w:p>
        </w:tc>
        <w:tc>
          <w:tcPr>
            <w:tcW w:type="dxa" w:w="2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ARITHMETIC_ERROR</w:t>
            </w:r>
          </w:p>
        </w:tc>
        <w:tc>
          <w:tcPr>
            <w:tcW w:type="dxa" w:w="43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Per line</w:t>
            </w:r>
          </w:p>
        </w:tc>
        <w:tc>
          <w:tcPr>
            <w:tcW w:type="dxa" w:w="19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Line level</w:t>
            </w:r>
          </w:p>
        </w:tc>
      </w:tr>
      <w:tr>
        <w:tc>
          <w:tcPr>
            <w:tcW w:type="dxa" w:w="7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14</w:t>
            </w:r>
          </w:p>
        </w:tc>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DUPLICATE_LINE</w:t>
            </w:r>
          </w:p>
        </w:tc>
        <w:tc>
          <w:tcPr>
            <w:tcW w:type="dxa" w:w="43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Requires full line set</w:t>
            </w:r>
          </w:p>
        </w:tc>
        <w:tc>
          <w:tcPr>
            <w:tcW w:type="dxa" w:w="19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Line level</w:t>
            </w:r>
          </w:p>
        </w:tc>
      </w:tr>
      <w:tr>
        <w:tc>
          <w:tcPr>
            <w:tcW w:type="dxa" w:w="7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15</w:t>
            </w:r>
          </w:p>
        </w:tc>
        <w:tc>
          <w:tcPr>
            <w:tcW w:type="dxa" w:w="2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DAILY_HOURS_EXCEEDED</w:t>
            </w:r>
          </w:p>
        </w:tc>
        <w:tc>
          <w:tcPr>
            <w:tcW w:type="dxa" w:w="43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Aggregate by timekeeper + date first</w:t>
            </w:r>
          </w:p>
        </w:tc>
        <w:tc>
          <w:tcPr>
            <w:tcW w:type="dxa" w:w="19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Line level</w:t>
            </w:r>
          </w:p>
        </w:tc>
      </w:tr>
      <w:tr>
        <w:tc>
          <w:tcPr>
            <w:tcW w:type="dxa" w:w="7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16</w:t>
            </w:r>
          </w:p>
        </w:tc>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BILLING_PERIOD_OUTSIDE_EL</w:t>
            </w:r>
          </w:p>
        </w:tc>
        <w:tc>
          <w:tcPr>
            <w:tcW w:type="dxa" w:w="43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Requires EL dates</w:t>
            </w:r>
          </w:p>
        </w:tc>
        <w:tc>
          <w:tcPr>
            <w:tcW w:type="dxa" w:w="19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Line level</w:t>
            </w:r>
          </w:p>
        </w:tc>
      </w:tr>
      <w:tr>
        <w:tc>
          <w:tcPr>
            <w:tcW w:type="dxa" w:w="7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17</w:t>
            </w:r>
          </w:p>
        </w:tc>
        <w:tc>
          <w:tcPr>
            <w:tcW w:type="dxa" w:w="2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UNAUTHORIZED_EXPENSE_TYPE</w:t>
            </w:r>
          </w:p>
        </w:tc>
        <w:tc>
          <w:tcPr>
            <w:tcW w:type="dxa" w:w="43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Expense lines only</w:t>
            </w:r>
          </w:p>
        </w:tc>
        <w:tc>
          <w:tcPr>
            <w:tcW w:type="dxa" w:w="19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Line level</w:t>
            </w:r>
          </w:p>
        </w:tc>
      </w:tr>
      <w:tr>
        <w:tc>
          <w:tcPr>
            <w:tcW w:type="dxa" w:w="7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18</w:t>
            </w:r>
          </w:p>
        </w:tc>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EXPENSE_CAP_EXCEEDED</w:t>
            </w:r>
          </w:p>
        </w:tc>
        <w:tc>
          <w:tcPr>
            <w:tcW w:type="dxa" w:w="43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Expense lines only — after UNAUTHORIZED check</w:t>
            </w:r>
          </w:p>
        </w:tc>
        <w:tc>
          <w:tcPr>
            <w:tcW w:type="dxa" w:w="19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Line level</w:t>
            </w:r>
          </w:p>
        </w:tc>
      </w:tr>
      <w:tr>
        <w:tc>
          <w:tcPr>
            <w:tcW w:type="dxa" w:w="7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19</w:t>
            </w:r>
          </w:p>
        </w:tc>
        <w:tc>
          <w:tcPr>
            <w:tcW w:type="dxa" w:w="2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TAX_OR_VAT_MISMATCH</w:t>
            </w:r>
          </w:p>
        </w:tc>
        <w:tc>
          <w:tcPr>
            <w:tcW w:type="dxa" w:w="43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Invoice-level tax reconciliation</w:t>
            </w:r>
          </w:p>
        </w:tc>
        <w:tc>
          <w:tcPr>
            <w:tcW w:type="dxa" w:w="19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Invoice level</w:t>
            </w:r>
          </w:p>
        </w:tc>
      </w:tr>
      <w:tr>
        <w:tc>
          <w:tcPr>
            <w:tcW w:type="dxa" w:w="7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20</w:t>
            </w:r>
          </w:p>
        </w:tc>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VOLUME_DISCOUNT_NOT_APPLIED</w:t>
            </w:r>
          </w:p>
        </w:tc>
        <w:tc>
          <w:tcPr>
            <w:tcW w:type="dxa" w:w="43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Requires cumulative billing data</w:t>
            </w:r>
          </w:p>
        </w:tc>
        <w:tc>
          <w:tcPr>
            <w:tcW w:type="dxa" w:w="19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Invoice level</w:t>
            </w:r>
          </w:p>
        </w:tc>
      </w:tr>
      <w:tr>
        <w:tc>
          <w:tcPr>
            <w:tcW w:type="dxa" w:w="7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21</w:t>
            </w:r>
          </w:p>
        </w:tc>
        <w:tc>
          <w:tcPr>
            <w:tcW w:type="dxa" w:w="2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MEETING_OVERSTAFFING</w:t>
            </w:r>
          </w:p>
        </w:tc>
        <w:tc>
          <w:tcPr>
            <w:tcW w:type="dxa" w:w="43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Configurable — requires description parsing</w:t>
            </w:r>
          </w:p>
        </w:tc>
        <w:tc>
          <w:tcPr>
            <w:tcW w:type="dxa" w:w="19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Line level</w:t>
            </w:r>
          </w:p>
        </w:tc>
      </w:tr>
      <w:tr>
        <w:tc>
          <w:tcPr>
            <w:tcW w:type="dxa" w:w="7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22</w:t>
            </w:r>
          </w:p>
        </w:tc>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EL_CONFLICT_WITH_PANEL_BASELINE</w:t>
            </w:r>
          </w:p>
        </w:tc>
        <w:tc>
          <w:tcPr>
            <w:tcW w:type="dxa" w:w="43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Grey — AI heuristic on EL vs Panel Rates/T&amp;C</w:t>
            </w:r>
          </w:p>
        </w:tc>
        <w:tc>
          <w:tcPr>
            <w:tcW w:type="dxa" w:w="19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AI phase</w:t>
            </w:r>
          </w:p>
        </w:tc>
      </w:tr>
      <w:tr>
        <w:tc>
          <w:tcPr>
            <w:tcW w:type="dxa" w:w="7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23</w:t>
            </w:r>
          </w:p>
        </w:tc>
        <w:tc>
          <w:tcPr>
            <w:tcW w:type="dxa" w:w="2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HOURS_DISPROPORTIONATE</w:t>
            </w:r>
          </w:p>
        </w:tc>
        <w:tc>
          <w:tcPr>
            <w:tcW w:type="dxa" w:w="43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Grey — AI heuristic on hours vs role/task</w:t>
            </w:r>
          </w:p>
        </w:tc>
        <w:tc>
          <w:tcPr>
            <w:tcW w:type="dxa" w:w="19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AI phase</w:t>
            </w:r>
          </w:p>
        </w:tc>
      </w:tr>
      <w:tr>
        <w:tc>
          <w:tcPr>
            <w:tcW w:type="dxa" w:w="7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24</w:t>
            </w:r>
          </w:p>
        </w:tc>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PARALLEL_BILLING</w:t>
            </w:r>
          </w:p>
        </w:tc>
        <w:tc>
          <w:tcPr>
            <w:tcW w:type="dxa" w:w="43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Grey — AI heuristic on overlapping descriptions</w:t>
            </w:r>
          </w:p>
        </w:tc>
        <w:tc>
          <w:tcPr>
            <w:tcW w:type="dxa" w:w="19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AI phase</w:t>
            </w:r>
          </w:p>
        </w:tc>
      </w:tr>
      <w:tr>
        <w:tc>
          <w:tcPr>
            <w:tcW w:type="dxa" w:w="7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25</w:t>
            </w:r>
          </w:p>
        </w:tc>
        <w:tc>
          <w:tcPr>
            <w:tcW w:type="dxa" w:w="2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SCOPE_CREEP</w:t>
            </w:r>
          </w:p>
        </w:tc>
        <w:tc>
          <w:tcPr>
            <w:tcW w:type="dxa" w:w="43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Grey — AI heuristic on EL scope vs descriptions</w:t>
            </w:r>
          </w:p>
        </w:tc>
        <w:tc>
          <w:tcPr>
            <w:tcW w:type="dxa" w:w="19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AI phase</w:t>
            </w:r>
          </w:p>
        </w:tc>
      </w:tr>
      <w:tr>
        <w:tc>
          <w:tcPr>
            <w:tcW w:type="dxa" w:w="7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26</w:t>
            </w:r>
          </w:p>
        </w:tc>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SENIORITY_OVERKILL</w:t>
            </w:r>
          </w:p>
        </w:tc>
        <w:tc>
          <w:tcPr>
            <w:tcW w:type="dxa" w:w="43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Grey — AI heuristic on role vs task complexity</w:t>
            </w:r>
          </w:p>
        </w:tc>
        <w:tc>
          <w:tcPr>
            <w:tcW w:type="dxa" w:w="19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AI phase</w:t>
            </w:r>
          </w:p>
        </w:tc>
      </w:tr>
      <w:tr>
        <w:tc>
          <w:tcPr>
            <w:tcW w:type="dxa" w:w="7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27</w:t>
            </w:r>
          </w:p>
        </w:tc>
        <w:tc>
          <w:tcPr>
            <w:tcW w:type="dxa" w:w="240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ESTIMATE_EXCESS</w:t>
            </w:r>
          </w:p>
        </w:tc>
        <w:tc>
          <w:tcPr>
            <w:tcW w:type="dxa" w:w="43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Grey — requires estimate figure from EL or Budget Estimate</w:t>
            </w:r>
          </w:p>
        </w:tc>
        <w:tc>
          <w:tcPr>
            <w:tcW w:type="dxa" w:w="1920"/>
            <w:tcBorders>
              <w:top w:val="single" w:color="CCCCDD" w:sz="1"/>
              <w:left w:val="single" w:color="CCCCDD" w:sz="1"/>
              <w:bottom w:val="single" w:color="CCCCDD" w:sz="1"/>
              <w:right w:val="single" w:color="CCCCDD"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AI phase</w:t>
            </w:r>
          </w:p>
        </w:tc>
      </w:tr>
      <w:tr>
        <w:tc>
          <w:tcPr>
            <w:tcW w:type="dxa" w:w="7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8"/>
                <w:szCs w:val="18"/>
              </w:rPr>
              <w:t xml:space="preserve">28</w:t>
            </w:r>
          </w:p>
        </w:tc>
        <w:tc>
          <w:tcPr>
            <w:tcW w:type="dxa" w:w="240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bCs/>
                <w:i w:val="false"/>
                <w:iCs w:val="false"/>
                <w:color w:val="1A1A2E"/>
                <w:sz w:val="17"/>
                <w:szCs w:val="17"/>
              </w:rPr>
              <w:t xml:space="preserve">INTERNAL_COORDINATION</w:t>
            </w:r>
          </w:p>
        </w:tc>
        <w:tc>
          <w:tcPr>
            <w:tcW w:type="dxa" w:w="43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7"/>
                <w:szCs w:val="17"/>
              </w:rPr>
              <w:t xml:space="preserve">Grey — AI keyword + heuristic on descriptions</w:t>
            </w:r>
          </w:p>
        </w:tc>
        <w:tc>
          <w:tcPr>
            <w:tcW w:type="dxa" w:w="1920"/>
            <w:tcBorders>
              <w:top w:val="single" w:color="CCCCDD" w:sz="1"/>
              <w:left w:val="single" w:color="CCCCDD" w:sz="1"/>
              <w:bottom w:val="single" w:color="CCCCDD" w:sz="1"/>
              <w:right w:val="single" w:color="CCCCDD" w:sz="1"/>
            </w:tcBorders>
            <w:shd w:fill="F2F2F5" w:val="clear"/>
            <w:tcMar>
              <w:top w:type="dxa" w:w="80"/>
              <w:left w:type="dxa" w:w="120"/>
              <w:bottom w:type="dxa" w:w="80"/>
              <w:right w:type="dxa" w:w="120"/>
            </w:tcMar>
          </w:tcPr>
          <w:p>
            <w:pPr>
              <w:jc w:val="center"/>
            </w:pPr>
            <w:r>
              <w:rPr>
                <w:rFonts w:ascii="Arial" w:cs="Arial" w:eastAsia="Arial" w:hAnsi="Arial"/>
                <w:b w:val="false"/>
                <w:bCs w:val="false"/>
                <w:i w:val="false"/>
                <w:iCs w:val="false"/>
                <w:color w:val="1A1A2E"/>
                <w:sz w:val="17"/>
                <w:szCs w:val="17"/>
              </w:rPr>
              <w:t xml:space="preserve">AI phase</w:t>
            </w:r>
          </w:p>
        </w:tc>
      </w:tr>
    </w:tbl>
    <w:p>
      <w:pPr>
        <w:spacing w:before="60" w:after="60"/>
      </w:pPr>
      <w:r>
        <w:t xml:space="preserve"/>
      </w:r>
    </w:p>
    <w:p>
      <w:pPr>
        <w:pStyle w:val="Heading1"/>
        <w:spacing w:before="400" w:after="140"/>
      </w:pPr>
      <w:r>
        <w:rPr>
          <w:rFonts w:ascii="Arial" w:cs="Arial" w:eastAsia="Arial" w:hAnsi="Arial"/>
          <w:b/>
          <w:bCs/>
          <w:color w:val="1A1A2E"/>
          <w:sz w:val="30"/>
          <w:szCs w:val="30"/>
        </w:rPr>
        <w:t xml:space="preserve">Confirmed Recovery Deduplication</w:t>
      </w:r>
    </w:p>
    <w:p>
      <w:pPr>
        <w:spacing w:before="60" w:after="60"/>
      </w:pPr>
      <w:r>
        <w:rPr>
          <w:rFonts w:ascii="Arial" w:cs="Arial" w:eastAsia="Arial" w:hAnsi="Arial"/>
          <w:b w:val="false"/>
          <w:bCs w:val="false"/>
          <w:i w:val="false"/>
          <w:iCs w:val="false"/>
          <w:color w:val="1A1A2E"/>
          <w:sz w:val="20"/>
          <w:szCs w:val="20"/>
        </w:rPr>
        <w:t xml:space="preserve">When multiple rules affect the same amount (e.g. RATE_EXCESS and INCONSISTENT_RATE on the same line), use recovery_group_key to deduplicate. Only the highest recovery amount from rules sharing the same group key should be counted.</w:t>
      </w:r>
    </w:p>
    <w:p>
      <w:pPr>
        <w:spacing w:before="60" w:after="60"/>
      </w:pPr>
      <w:r>
        <w:t xml:space="preserve"/>
      </w:r>
    </w:p>
    <w:p>
      <w:pPr>
        <w:spacing w:before="60" w:after="60"/>
      </w:pPr>
      <w:r>
        <w:rPr>
          <w:rFonts w:ascii="Arial" w:cs="Arial" w:eastAsia="Arial" w:hAnsi="Arial"/>
          <w:b w:val="false"/>
          <w:bCs w:val="false"/>
          <w:i/>
          <w:iCs/>
          <w:color w:val="1A1A2E"/>
          <w:sz w:val="20"/>
          <w:szCs w:val="20"/>
        </w:rPr>
        <w:t xml:space="preserve">Rules with automatic recovery formulas: RATE_EXCESS, VOLUME_DISCOUNT_NOT_APPLIED, EXPENSE_CAP_EXCEEDED, FIXED_SCOPE_AMOUNT_MISMATCH, DUPLICATE_LINE, ARITHMETIC_ERROR, UNAUTHORIZED_EXPENSE_TYPE, TAX_OR_VAT_MISMATCH, INCONSISTENT_RATE_FOR_SAME_TIMEKEEPER.</w:t>
      </w:r>
    </w:p>
    <w:p>
      <w:pPr>
        <w:spacing w:before="60" w:after="60"/>
      </w:pPr>
      <w:r>
        <w:t xml:space="preserve"/>
      </w:r>
    </w:p>
    <w:p>
      <w:pPr>
        <w:spacing w:before="60" w:after="60"/>
      </w:pPr>
      <w:r>
        <w:t xml:space="preserve"/>
      </w:r>
    </w:p>
    <w:p>
      <w:pPr>
        <w:spacing w:before="400"/>
      </w:pPr>
      <w:r>
        <w:rPr>
          <w:rFonts w:ascii="Arial" w:cs="Arial" w:eastAsia="Arial" w:hAnsi="Arial"/>
          <w:i/>
          <w:iCs/>
          <w:color w:val="404060"/>
          <w:sz w:val="18"/>
          <w:szCs w:val="18"/>
        </w:rPr>
        <w:t xml:space="preserve">End of Rule Engine Specification — Invoice Checker v1.0</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4" w:space="1"/>
      </w:pBdr>
      <w:tabs>
        <w:tab w:val="right" w:pos="9026"/>
      </w:tabs>
      <w:spacing w:before="100"/>
    </w:pPr>
    <w:r>
      <w:rPr>
        <w:rFonts w:ascii="Arial" w:cs="Arial" w:eastAsia="Arial" w:hAnsi="Arial"/>
        <w:color w:val="808090"/>
        <w:sz w:val="14"/>
        <w:szCs w:val="14"/>
      </w:rPr>
      <w:t xml:space="preserve">Arcturus Financial Group S.A.  |  Rule Engine Specification</w:t>
    </w:r>
    <w:r>
      <w:t xml:space="preserve">	</w:t>
    </w:r>
    <w:r>
      <w:rPr>
        <w:rFonts w:ascii="Arial" w:cs="Arial" w:eastAsia="Arial" w:hAnsi="Arial"/>
        <w:color w:val="80809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1"/>
      </w:pBdr>
      <w:tabs>
        <w:tab w:val="right" w:pos="9026"/>
      </w:tabs>
      <w:spacing w:after="100"/>
    </w:pPr>
    <w:r>
      <w:rPr>
        <w:rFonts w:ascii="Arial" w:cs="Arial" w:eastAsia="Arial" w:hAnsi="Arial"/>
        <w:color w:val="404060"/>
        <w:sz w:val="16"/>
        <w:szCs w:val="16"/>
      </w:rPr>
      <w:t xml:space="preserve">Invoice Checker — Rule Engine Specification v1.0</w:t>
    </w:r>
    <w:r>
      <w:t xml:space="preserve">	</w:t>
    </w:r>
    <w:r>
      <w:rPr>
        <w:rFonts w:ascii="Arial" w:cs="Arial" w:eastAsia="Arial" w:hAnsi="Arial"/>
        <w:b/>
        <w:bCs/>
        <w:color w:val="CC22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A1A2E"/>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404060"/>
      <w:sz w:val="24"/>
      <w:szCs w:val="24"/>
    </w:rPr>
  </w:style>
  <w:style w:type="paragraph" w:styleId="Heading3">
    <w:name w:val="Heading 3"/>
    <w:basedOn w:val="Normal"/>
    <w:next w:val="Normal"/>
    <w:qFormat/>
    <w:pPr>
      <w:spacing w:before="220" w:after="80"/>
      <w:outlineLvl w:val="2"/>
    </w:pPr>
    <w:rPr>
      <w:rFonts w:ascii="Arial" w:cs="Arial" w:eastAsia="Arial" w:hAnsi="Arial"/>
      <w:b/>
      <w:bCs/>
      <w:color w:val="1A1A2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2026-03-21T21:59:13.001Z</dcterms:created>
  <dcterms:modified xsi:type="dcterms:W3CDTF">2026-03-21T21:59:13.002Z</dcterms:modified>
</cp:coreProperties>
</file>

<file path=docProps/custom.xml><?xml version="1.0" encoding="utf-8"?>
<Properties xmlns="http://schemas.openxmlformats.org/officeDocument/2006/custom-properties" xmlns:vt="http://schemas.openxmlformats.org/officeDocument/2006/docPropsVTypes"/>
</file>