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B4F72"/>
        </w:rPr>
        <w:t>Documento del esquema de adaptación al modelo LADM-COL</w:t>
      </w:r>
    </w:p>
    <w:p>
      <w:pPr>
        <w:pStyle w:val="Heading1"/>
      </w:pPr>
      <w:r>
        <w:rPr>
          <w:color w:val="1B4F72"/>
        </w:rPr>
        <w:t>Análisis desde la teoría de bases de datos</w:t>
      </w:r>
    </w:p>
    <w:p>
      <w:r>
        <w:rPr>
          <w:b/>
        </w:rPr>
        <w:t>Insumo original:</w:t>
      </w:r>
      <w:r>
        <w:t xml:space="preserve"> </w:t>
      </w:r>
      <w:r>
        <w:rPr>
          <w:rFonts w:ascii="Consolas" w:hAnsi="Consolas"/>
          <w:color w:val="B03030"/>
          <w:sz w:val="20"/>
        </w:rPr>
        <w:t>base de datos depurada.shp</w:t>
      </w:r>
      <w:r>
        <w:t xml:space="preserve"> (tabla plana en formato IGAC)</w:t>
      </w:r>
    </w:p>
    <w:p>
      <w:r>
        <w:rPr>
          <w:b/>
        </w:rPr>
        <w:t>Producto:</w:t>
      </w:r>
      <w:r>
        <w:t xml:space="preserve"> File Geodatabase </w:t>
      </w:r>
      <w:r>
        <w:rPr>
          <w:rFonts w:ascii="Consolas" w:hAnsi="Consolas"/>
          <w:color w:val="B03030"/>
          <w:sz w:val="20"/>
        </w:rPr>
        <w:t>LADM_COL_Predios_Patrimoniales.gdb</w:t>
      </w:r>
    </w:p>
    <w:p>
      <w:r>
        <w:rPr>
          <w:b/>
        </w:rPr>
        <w:t>Modelo de referencia:</w:t>
      </w:r>
      <w:r>
        <w:t xml:space="preserve"> Modelo Extendido Catastro-Registro LADM-COL V4.1, sobre el Núcleo LADM-COL V4.0.1 (ISO 19152 — *Land Administration Domain Model*)</w:t>
      </w:r>
    </w:p>
    <w:p>
      <w:r>
        <w:rPr>
          <w:b/>
        </w:rPr>
        <w:t>Esquema visual asociado:</w:t>
      </w:r>
      <w:r>
        <w:t xml:space="preserve"> </w:t>
      </w:r>
      <w:r>
        <w:rPr>
          <w:rFonts w:ascii="Consolas" w:hAnsi="Consolas"/>
          <w:color w:val="B03030"/>
          <w:sz w:val="20"/>
        </w:rPr>
        <w:t>02_ESQUEMA_ADAPTACION_LADM_COL.png</w:t>
      </w:r>
    </w:p>
    <w:p>
      <w:pPr>
        <w:ind w:left="432"/>
      </w:pPr>
      <w:r>
        <w:rPr>
          <w:i/>
          <w:color w:val="555555"/>
        </w:rPr>
        <w:t xml:space="preserve">Este documento explica </w:t>
      </w:r>
      <w:r>
        <w:rPr>
          <w:b/>
          <w:i/>
          <w:color w:val="555555"/>
        </w:rPr>
        <w:t>teóricamente</w:t>
      </w:r>
      <w:r>
        <w:rPr>
          <w:i/>
          <w:color w:val="555555"/>
        </w:rPr>
        <w:t xml:space="preserve"> cómo se adaptó la base de datos: el paso de un archivo plano a un modelo relacional normalizado. No describe el código ni las herramientas; se concentra en los conceptos de diseño de bases de datos.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rPr>
          <w:color w:val="1B4F72"/>
        </w:rPr>
        <w:t>1. Punto de partida: una tabla plana (no normalizada)</w:t>
      </w:r>
    </w:p>
    <w:p>
      <w:r>
        <w:t xml:space="preserve">El insumo era una </w:t>
      </w:r>
      <w:r>
        <w:rPr>
          <w:b/>
        </w:rPr>
        <w:t>única relación (tabla)</w:t>
      </w:r>
      <w:r>
        <w:t xml:space="preserve"> de aproximadamente 80 columnas y 884 filas, donde cada fila mezclaba, en un mismo registro, información que en realidad pertenece a entidades distintas del mundo real:</w:t>
      </w:r>
    </w:p>
    <w:p>
      <w:pPr>
        <w:pStyle w:val="ListBullet"/>
      </w:pPr>
      <w:r>
        <w:t xml:space="preserve">la </w:t>
      </w:r>
      <w:r>
        <w:rPr>
          <w:b/>
        </w:rPr>
        <w:t>identidad del predio</w:t>
      </w:r>
      <w:r>
        <w:t xml:space="preserve"> (número predial, código anterior, dirección),</w:t>
      </w:r>
    </w:p>
    <w:p>
      <w:pPr>
        <w:pStyle w:val="ListBullet"/>
      </w:pPr>
      <w:r>
        <w:t xml:space="preserve">el </w:t>
      </w:r>
      <w:r>
        <w:rPr>
          <w:b/>
        </w:rPr>
        <w:t>propietario</w:t>
      </w:r>
      <w:r>
        <w:t xml:space="preserve"> (nombre, documento, tipo de documento),</w:t>
      </w:r>
    </w:p>
    <w:p>
      <w:pPr>
        <w:pStyle w:val="ListBullet"/>
      </w:pPr>
      <w:r>
        <w:t xml:space="preserve">el </w:t>
      </w:r>
      <w:r>
        <w:rPr>
          <w:b/>
        </w:rPr>
        <w:t>derecho</w:t>
      </w:r>
      <w:r>
        <w:t xml:space="preserve"> que vincula propietario y predio,</w:t>
      </w:r>
    </w:p>
    <w:p>
      <w:pPr>
        <w:pStyle w:val="ListBullet"/>
      </w:pPr>
      <w:r>
        <w:t xml:space="preserve">el </w:t>
      </w:r>
      <w:r>
        <w:rPr>
          <w:b/>
        </w:rPr>
        <w:t>soporte registral</w:t>
      </w:r>
      <w:r>
        <w:t xml:space="preserve"> (matrícula inmobiliaria),</w:t>
      </w:r>
    </w:p>
    <w:p>
      <w:pPr>
        <w:pStyle w:val="ListBullet"/>
      </w:pPr>
      <w:r>
        <w:t xml:space="preserve">las </w:t>
      </w:r>
      <w:r>
        <w:rPr>
          <w:b/>
        </w:rPr>
        <w:t>características físicas/económicas</w:t>
      </w:r>
      <w:r>
        <w:t xml:space="preserve"> de las construcciones y del terreno (Registro 2),</w:t>
      </w:r>
    </w:p>
    <w:p>
      <w:pPr>
        <w:pStyle w:val="ListBullet"/>
      </w:pPr>
      <w:r>
        <w:t xml:space="preserve">la </w:t>
      </w:r>
      <w:r>
        <w:rPr>
          <w:b/>
        </w:rPr>
        <w:t>geometría</w:t>
      </w:r>
      <w:r>
        <w:t xml:space="preserve"> del polígono.</w:t>
      </w:r>
    </w:p>
    <w:p>
      <w:r>
        <w:t xml:space="preserve">Este diseño «todo en una tabla» se denomina </w:t>
      </w:r>
      <w:r>
        <w:rPr>
          <w:b/>
        </w:rPr>
        <w:t>estructura desnormalizada</w:t>
      </w:r>
      <w:r>
        <w:t xml:space="preserve"> y presenta los problemas clásicos que la teoría relacional busca evitar: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B4F72"/>
          </w:tcPr>
          <w:p>
            <w:r>
              <w:rPr>
                <w:b/>
                <w:color w:val="FFFFFF"/>
              </w:rPr>
              <w:t>Problema (teoría)</w:t>
            </w:r>
          </w:p>
        </w:tc>
        <w:tc>
          <w:tcPr>
            <w:tcW w:type="dxa" w:w="4320"/>
            <w:shd w:val="clear" w:color="auto" w:fill="1B4F72"/>
          </w:tcPr>
          <w:p>
            <w:r>
              <w:rPr>
                <w:b/>
                <w:color w:val="FFFFFF"/>
              </w:rPr>
              <w:t>Manifestación en el insumo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Redundancia de datos</w:t>
            </w:r>
          </w:p>
        </w:tc>
        <w:tc>
          <w:tcPr>
            <w:tcW w:type="dxa" w:w="4320"/>
          </w:tcPr>
          <w:p>
            <w:r/>
            <w:r>
              <w:t>El propietario (siempre la misma entidad) se repetía en cientos de filas.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Anomalías de actualización</w:t>
            </w:r>
          </w:p>
        </w:tc>
        <w:tc>
          <w:tcPr>
            <w:tcW w:type="dxa" w:w="4320"/>
          </w:tcPr>
          <w:p>
            <w:r/>
            <w:r>
              <w:t>Corregir el NIT obligaría a editar muchas filas; bastaba olvidar una para crear inconsistencia.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Anomalías de inserción</w:t>
            </w:r>
          </w:p>
        </w:tc>
        <w:tc>
          <w:tcPr>
            <w:tcW w:type="dxa" w:w="4320"/>
          </w:tcPr>
          <w:p>
            <w:r/>
            <w:r>
              <w:t>No se podía registrar una matrícula o una fuente sin un predio asociado.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Anomalías de borrado</w:t>
            </w:r>
          </w:p>
        </w:tc>
        <w:tc>
          <w:tcPr>
            <w:tcW w:type="dxa" w:w="4320"/>
          </w:tcPr>
          <w:p>
            <w:r/>
            <w:r>
              <w:t>Borrar un predio eliminaba también el único rastro de su propietario o su matrícula.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Falta de integridad de dominio</w:t>
            </w:r>
          </w:p>
        </w:tc>
        <w:tc>
          <w:tcPr>
            <w:tcW w:type="dxa" w:w="4320"/>
          </w:tcPr>
          <w:p>
            <w:r/>
            <w:r>
              <w:t>Campos categóricos en texto libre o códigos crudos, con erratas y acentos dañados.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Dependencias parciales/transitivas</w:t>
            </w:r>
          </w:p>
        </w:tc>
        <w:tc>
          <w:tcPr>
            <w:tcW w:type="dxa" w:w="4320"/>
          </w:tcPr>
          <w:p>
            <w:r/>
            <w:r>
              <w:t>Atributos del propietario y de la construcción dependían de claves que no eran la clave del predio.</w:t>
            </w:r>
          </w:p>
        </w:tc>
      </w:tr>
    </w:tbl>
    <w:p/>
    <w:p>
      <w:r>
        <w:t xml:space="preserve">La presencia de </w:t>
      </w:r>
      <w:r>
        <w:rPr>
          <w:b/>
        </w:rPr>
        <w:t>~24 variantes de nombre + documento</w:t>
      </w:r>
      <w:r>
        <w:t xml:space="preserve"> para un mismo propietario (el Departamento, NIT 892.400.038-2) es el síntoma textbook de la redundancia: el mismo hecho del mundo real almacenado muchas veces y, por tanto, capaz de divergir.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rPr>
          <w:color w:val="1B4F72"/>
        </w:rPr>
        <w:t>2. Objetivo del diseño: normalización</w:t>
      </w:r>
    </w:p>
    <w:p>
      <w:r>
        <w:t xml:space="preserve">La adaptación consistió en </w:t>
      </w:r>
      <w:r>
        <w:rPr>
          <w:b/>
        </w:rPr>
        <w:t>descomponer</w:t>
      </w:r>
      <w:r>
        <w:t xml:space="preserve"> esa única relación en varias relaciones más pequeñas, cada una describiendo </w:t>
      </w:r>
      <w:r>
        <w:rPr>
          <w:b/>
        </w:rPr>
        <w:t>una sola clase de entidad</w:t>
      </w:r>
      <w:r>
        <w:t xml:space="preserve">, conectadas mediante claves. Este proceso es la </w:t>
      </w:r>
      <w:r>
        <w:rPr>
          <w:b/>
        </w:rPr>
        <w:t>normalización</w:t>
      </w:r>
      <w:r>
        <w:t>, y el resultado satisface las formas normales:</w:t>
      </w:r>
    </w:p>
    <w:p>
      <w:pPr>
        <w:pStyle w:val="ListBullet"/>
      </w:pPr>
      <w:r>
        <w:rPr>
          <w:b/>
        </w:rPr>
        <w:t>1FN (Primera Forma Normal):</w:t>
      </w:r>
      <w:r>
        <w:t xml:space="preserve"> cada atributo es atómico. Donde el insumo guardaba hasta 3 construcciones y 2 zonas en columnas repetidas en la misma fila (</w:t>
      </w:r>
      <w:r>
        <w:rPr>
          <w:rFonts w:ascii="Consolas" w:hAnsi="Consolas"/>
          <w:color w:val="B03030"/>
          <w:sz w:val="20"/>
        </w:rPr>
        <w:t>R2_Habitac</w:t>
      </w:r>
      <w:r>
        <w:t xml:space="preserve">, </w:t>
      </w:r>
      <w:r>
        <w:rPr>
          <w:rFonts w:ascii="Consolas" w:hAnsi="Consolas"/>
          <w:color w:val="B03030"/>
          <w:sz w:val="20"/>
        </w:rPr>
        <w:t>R2_Habit_1</w:t>
      </w:r>
      <w:r>
        <w:t xml:space="preserve">, </w:t>
      </w:r>
      <w:r>
        <w:rPr>
          <w:rFonts w:ascii="Consolas" w:hAnsi="Consolas"/>
          <w:color w:val="B03030"/>
          <w:sz w:val="20"/>
        </w:rPr>
        <w:t>R2_Habit_2</w:t>
      </w:r>
      <w:r>
        <w:t xml:space="preserve">…), el modelo lo convierte en </w:t>
      </w:r>
      <w:r>
        <w:rPr>
          <w:b/>
        </w:rPr>
        <w:t>filas</w:t>
      </w:r>
      <w:r>
        <w:t xml:space="preserve"> de tablas hijas (</w:t>
      </w:r>
      <w:r>
        <w:rPr>
          <w:rFonts w:ascii="Consolas" w:hAnsi="Consolas"/>
          <w:color w:val="B03030"/>
          <w:sz w:val="20"/>
        </w:rPr>
        <w:t>CR_UnidadConstruccion</w:t>
      </w:r>
      <w:r>
        <w:t xml:space="preserve">, </w:t>
      </w:r>
      <w:r>
        <w:rPr>
          <w:rFonts w:ascii="Consolas" w:hAnsi="Consolas"/>
          <w:color w:val="B03030"/>
          <w:sz w:val="20"/>
        </w:rPr>
        <w:t>CR_ZonaHomogenea</w:t>
      </w:r>
      <w:r>
        <w:t>). Se elimina el «grupo repetitivo».</w:t>
      </w:r>
    </w:p>
    <w:p>
      <w:pPr>
        <w:pStyle w:val="ListBullet"/>
      </w:pPr>
      <w:r>
        <w:rPr>
          <w:b/>
        </w:rPr>
        <w:t>2FN (Segunda Forma Normal):</w:t>
      </w:r>
      <w:r>
        <w:t xml:space="preserve"> ningún atributo no clave depende sólo de una parte de la clave. Los datos del propietario, que no dependen del predio sino del interesado, se trasladan a </w:t>
      </w:r>
      <w:r>
        <w:rPr>
          <w:rFonts w:ascii="Consolas" w:hAnsi="Consolas"/>
          <w:color w:val="B03030"/>
          <w:sz w:val="20"/>
        </w:rPr>
        <w:t>LA_Interesado</w:t>
      </w:r>
      <w:r>
        <w:t>.</w:t>
      </w:r>
    </w:p>
    <w:p>
      <w:pPr>
        <w:pStyle w:val="ListBullet"/>
      </w:pPr>
      <w:r>
        <w:rPr>
          <w:b/>
        </w:rPr>
        <w:t>3FN (Tercera Forma Normal):</w:t>
      </w:r>
      <w:r>
        <w:t xml:space="preserve"> se eliminan dependencias transitivas. La descripción de un código (p. ej. destino económico) no se almacena junto al predio sino que se resuelve mediante </w:t>
      </w:r>
      <w:r>
        <w:rPr>
          <w:b/>
        </w:rPr>
        <w:t>dominios</w:t>
      </w:r>
      <w:r>
        <w:t xml:space="preserve"> (listas controladas).</w:t>
      </w:r>
    </w:p>
    <w:p>
      <w:r>
        <w:t xml:space="preserve">El modelo conceptual de referencia (LADM-COL / ISO 19152) ya es, por construcción, un </w:t>
      </w:r>
      <w:r>
        <w:rPr>
          <w:b/>
        </w:rPr>
        <w:t>modelo entidad-relación normalizado</w:t>
      </w:r>
      <w:r>
        <w:t xml:space="preserve">. Adaptar el insumo a LADM-COL equivale, en términos de bases de datos, a </w:t>
      </w:r>
      <w:r>
        <w:rPr>
          <w:b/>
        </w:rPr>
        <w:t>proyectar una tabla plana sobre un esquema relacional normalizado preexistente</w:t>
      </w:r>
      <w:r>
        <w:t>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rPr>
          <w:color w:val="1B4F72"/>
        </w:rPr>
        <w:t>3. Los tres niveles del diseño</w:t>
      </w:r>
    </w:p>
    <w:p>
      <w:r>
        <w:t>La teoría distingue tres niveles de abstracción; el proyecto los recorre así: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B4F72"/>
          </w:tcPr>
          <w:p>
            <w:r>
              <w:rPr>
                <w:b/>
                <w:color w:val="FFFFFF"/>
              </w:rPr>
              <w:t>Nivel</w:t>
            </w:r>
          </w:p>
        </w:tc>
        <w:tc>
          <w:tcPr>
            <w:tcW w:type="dxa" w:w="4320"/>
            <w:shd w:val="clear" w:color="auto" w:fill="1B4F72"/>
          </w:tcPr>
          <w:p>
            <w:r>
              <w:rPr>
                <w:b/>
                <w:color w:val="FFFFFF"/>
              </w:rPr>
              <w:t>En este proyecto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Conceptual</w:t>
            </w:r>
          </w:p>
        </w:tc>
        <w:tc>
          <w:tcPr>
            <w:tcW w:type="dxa" w:w="4320"/>
          </w:tcPr>
          <w:p>
            <w:r/>
            <w:r>
              <w:t>El modelo LADM-COL: entidades *Interesado, Predio, Derecho, Fuente, Unidad espacial* y sus relaciones. Independiente de cualquier software. Es el modelo entidad-relación «universal» del dominio catastral.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Lógico</w:t>
            </w:r>
          </w:p>
        </w:tc>
        <w:tc>
          <w:tcPr>
            <w:tcW w:type="dxa" w:w="4320"/>
          </w:tcPr>
          <w:p>
            <w:r/>
            <w:r>
              <w:t>La traducción a tablas relacionales con claves primarias y foráneas, atributos tipados y dominios. Es lo que describe el esquema PNG.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Físico</w:t>
            </w:r>
          </w:p>
        </w:tc>
        <w:tc>
          <w:tcPr>
            <w:tcW w:type="dxa" w:w="4320"/>
          </w:tcPr>
          <w:p>
            <w:r/>
            <w:r>
              <w:t>La materialización como File Geodatabase: *feature class*, tablas, *coded value domains* y *relationship classes*, con tipos de dato concretos (TEXT, DOUBLE, SHORT, LONG) y un sistema de referencia espacial (MAGNA-SIRGAS / Origen Nacional).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1"/>
      </w:pPr>
      <w:r>
        <w:rPr>
          <w:color w:val="1B4F72"/>
        </w:rPr>
        <w:t>4. Las entidades del modelo (relaciones resultantes)</w:t>
      </w:r>
    </w:p>
    <w:p>
      <w:r>
        <w:t xml:space="preserve">Cada tabla representa </w:t>
      </w:r>
      <w:r>
        <w:rPr>
          <w:b/>
        </w:rPr>
        <w:t>una entidad</w:t>
      </w:r>
      <w:r>
        <w:t xml:space="preserve"> con su </w:t>
      </w:r>
      <w:r>
        <w:rPr>
          <w:b/>
        </w:rPr>
        <w:t>clave primaria</w:t>
      </w:r>
      <w:r>
        <w:t xml:space="preserve"> </w:t>
      </w:r>
      <w:r>
        <w:rPr>
          <w:rFonts w:ascii="Consolas" w:hAnsi="Consolas"/>
          <w:color w:val="B03030"/>
          <w:sz w:val="20"/>
        </w:rPr>
        <w:t>T_Id</w:t>
      </w:r>
      <w:r>
        <w:t xml:space="preserve"> (identificador único LADM-COL). A continuación, su rol en términos de base de datos.</w:t>
      </w:r>
    </w:p>
    <w:p>
      <w:pPr>
        <w:pStyle w:val="Heading2"/>
      </w:pPr>
      <w:r>
        <w:rPr>
          <w:color w:val="1B4F72"/>
        </w:rPr>
        <w:t xml:space="preserve">4.1 </w:t>
      </w:r>
      <w:r>
        <w:rPr>
          <w:rFonts w:ascii="Consolas" w:hAnsi="Consolas"/>
          <w:color w:val="1B4F72"/>
          <w:sz w:val="20"/>
        </w:rPr>
        <w:t>LA_Interesado</w:t>
      </w:r>
      <w:r>
        <w:rPr>
          <w:color w:val="1B4F72"/>
        </w:rPr>
        <w:t xml:space="preserve"> — la entidad «propietario»</w:t>
      </w:r>
    </w:p>
    <w:p>
      <w:pPr>
        <w:pStyle w:val="ListBullet"/>
      </w:pPr>
      <w:r>
        <w:rPr>
          <w:b/>
        </w:rPr>
        <w:t>Clave primaria:</w:t>
      </w:r>
      <w:r>
        <w:t xml:space="preserve"> </w:t>
      </w:r>
      <w:r>
        <w:rPr>
          <w:rFonts w:ascii="Consolas" w:hAnsi="Consolas"/>
          <w:color w:val="B03030"/>
          <w:sz w:val="20"/>
        </w:rPr>
        <w:t>T_Id</w:t>
      </w:r>
      <w:r>
        <w:t>.</w:t>
      </w:r>
    </w:p>
    <w:p>
      <w:pPr>
        <w:pStyle w:val="ListBullet"/>
      </w:pPr>
      <w:r>
        <w:rPr>
          <w:b/>
        </w:rPr>
        <w:t>Razón de existir:</w:t>
      </w:r>
      <w:r>
        <w:t xml:space="preserve"> factoriza la información del titular para que </w:t>
      </w:r>
      <w:r>
        <w:rPr>
          <w:b/>
        </w:rPr>
        <w:t>exista una sola vez</w:t>
      </w:r>
      <w:r>
        <w:t xml:space="preserve">. Aquí se materializa el mayor beneficio de la normalización: las ~24 variantes colapsan en </w:t>
      </w:r>
      <w:r>
        <w:rPr>
          <w:b/>
        </w:rPr>
        <w:t>un único registro canónico</w:t>
      </w:r>
      <w:r>
        <w:t>. Cualquier corrección futura del nombre o el NIT se hace en un solo lugar (se elimina la anomalía de actualización).</w:t>
      </w:r>
    </w:p>
    <w:p>
      <w:pPr>
        <w:pStyle w:val="ListBullet"/>
      </w:pPr>
      <w:r>
        <w:rPr>
          <w:b/>
        </w:rPr>
        <w:t>Atributos con dominio:</w:t>
      </w:r>
      <w:r>
        <w:t xml:space="preserve"> </w:t>
      </w:r>
      <w:r>
        <w:rPr>
          <w:rFonts w:ascii="Consolas" w:hAnsi="Consolas"/>
          <w:color w:val="B03030"/>
          <w:sz w:val="20"/>
        </w:rPr>
        <w:t>tipo_interesado</w:t>
      </w:r>
      <w:r>
        <w:t xml:space="preserve">, </w:t>
      </w:r>
      <w:r>
        <w:rPr>
          <w:rFonts w:ascii="Consolas" w:hAnsi="Consolas"/>
          <w:color w:val="B03030"/>
          <w:sz w:val="20"/>
        </w:rPr>
        <w:t>tipo_documento</w:t>
      </w:r>
      <w:r>
        <w:t xml:space="preserve"> (integridad de dominio).</w:t>
      </w:r>
    </w:p>
    <w:p>
      <w:pPr>
        <w:pStyle w:val="Heading2"/>
      </w:pPr>
      <w:r>
        <w:rPr>
          <w:color w:val="1B4F72"/>
        </w:rPr>
        <w:t xml:space="preserve">4.2 </w:t>
      </w:r>
      <w:r>
        <w:rPr>
          <w:rFonts w:ascii="Consolas" w:hAnsi="Consolas"/>
          <w:color w:val="1B4F72"/>
          <w:sz w:val="20"/>
        </w:rPr>
        <w:t>LA_Predio</w:t>
      </w:r>
      <w:r>
        <w:rPr>
          <w:color w:val="1B4F72"/>
        </w:rPr>
        <w:t xml:space="preserve"> — la entidad central «predio»</w:t>
      </w:r>
    </w:p>
    <w:p>
      <w:pPr>
        <w:pStyle w:val="ListBullet"/>
      </w:pPr>
      <w:r>
        <w:rPr>
          <w:b/>
        </w:rPr>
        <w:t>Clave primaria:</w:t>
      </w:r>
      <w:r>
        <w:t xml:space="preserve"> </w:t>
      </w:r>
      <w:r>
        <w:rPr>
          <w:rFonts w:ascii="Consolas" w:hAnsi="Consolas"/>
          <w:color w:val="B03030"/>
          <w:sz w:val="20"/>
        </w:rPr>
        <w:t>T_Id</w:t>
      </w:r>
      <w:r>
        <w:t xml:space="preserve">; </w:t>
      </w:r>
      <w:r>
        <w:rPr>
          <w:b/>
        </w:rPr>
        <w:t>clave natural/candidata:</w:t>
      </w:r>
      <w:r>
        <w:t xml:space="preserve"> </w:t>
      </w:r>
      <w:r>
        <w:rPr>
          <w:rFonts w:ascii="Consolas" w:hAnsi="Consolas"/>
          <w:color w:val="B03030"/>
          <w:sz w:val="20"/>
        </w:rPr>
        <w:t>npn</w:t>
      </w:r>
      <w:r>
        <w:t xml:space="preserve"> (número predial nacional de 30 dígitos, único por predio).</w:t>
      </w:r>
    </w:p>
    <w:p>
      <w:pPr>
        <w:pStyle w:val="ListBullet"/>
      </w:pPr>
      <w:r>
        <w:rPr>
          <w:b/>
        </w:rPr>
        <w:t>Rol:</w:t>
      </w:r>
      <w:r>
        <w:t xml:space="preserve"> es la entidad alrededor de la cual gira el modelo (en LADM-COL, la *Basic Administrative Unit*). Contiene sólo atributos que dependen funcionalmente del predio: condición, destino, áreas, avalúo, dirección.</w:t>
      </w:r>
    </w:p>
    <w:p>
      <w:pPr>
        <w:pStyle w:val="ListBullet"/>
      </w:pPr>
      <w:r>
        <w:rPr>
          <w:b/>
        </w:rPr>
        <w:t>Distinción importante de calidad de dato:</w:t>
      </w:r>
      <w:r>
        <w:t xml:space="preserve"> se conservan en paralelo el </w:t>
      </w:r>
      <w:r>
        <w:rPr>
          <w:b/>
        </w:rPr>
        <w:t>área registral</w:t>
      </w:r>
      <w:r>
        <w:t xml:space="preserve"> (declarada en el documento) y el </w:t>
      </w:r>
      <w:r>
        <w:rPr>
          <w:b/>
        </w:rPr>
        <w:t>área geométrica</w:t>
      </w:r>
      <w:r>
        <w:t xml:space="preserve"> (calculada del polígono). Mantener ambas es una decisión de diseño: representan dos hechos distintos y permiten auditar discrepancias.</w:t>
      </w:r>
    </w:p>
    <w:p>
      <w:pPr>
        <w:pStyle w:val="Heading2"/>
      </w:pPr>
      <w:r>
        <w:rPr>
          <w:color w:val="1B4F72"/>
        </w:rPr>
        <w:t xml:space="preserve">4.3 </w:t>
      </w:r>
      <w:r>
        <w:rPr>
          <w:rFonts w:ascii="Consolas" w:hAnsi="Consolas"/>
          <w:color w:val="1B4F72"/>
          <w:sz w:val="20"/>
        </w:rPr>
        <w:t>LA_Derecho</w:t>
      </w:r>
      <w:r>
        <w:rPr>
          <w:color w:val="1B4F72"/>
        </w:rPr>
        <w:t xml:space="preserve"> — la entidad asociativa (relación N:M resuelta)</w:t>
      </w:r>
    </w:p>
    <w:p>
      <w:pPr>
        <w:pStyle w:val="ListBullet"/>
      </w:pPr>
      <w:r>
        <w:rPr>
          <w:b/>
        </w:rPr>
        <w:t>Clave primaria:</w:t>
      </w:r>
      <w:r>
        <w:t xml:space="preserve"> </w:t>
      </w:r>
      <w:r>
        <w:rPr>
          <w:rFonts w:ascii="Consolas" w:hAnsi="Consolas"/>
          <w:color w:val="B03030"/>
          <w:sz w:val="20"/>
        </w:rPr>
        <w:t>T_Id</w:t>
      </w:r>
      <w:r>
        <w:t>.</w:t>
      </w:r>
    </w:p>
    <w:p>
      <w:pPr>
        <w:pStyle w:val="ListBullet"/>
      </w:pPr>
      <w:r>
        <w:rPr>
          <w:b/>
        </w:rPr>
        <w:t>Claves foráneas:</w:t>
      </w:r>
      <w:r>
        <w:t xml:space="preserve"> </w:t>
      </w:r>
      <w:r>
        <w:rPr>
          <w:rFonts w:ascii="Consolas" w:hAnsi="Consolas"/>
          <w:color w:val="B03030"/>
          <w:sz w:val="20"/>
        </w:rPr>
        <w:t>interesado_id</w:t>
      </w:r>
      <w:r>
        <w:t xml:space="preserve"> → </w:t>
      </w:r>
      <w:r>
        <w:rPr>
          <w:rFonts w:ascii="Consolas" w:hAnsi="Consolas"/>
          <w:color w:val="B03030"/>
          <w:sz w:val="20"/>
        </w:rPr>
        <w:t>LA_Interesado</w:t>
      </w:r>
      <w:r>
        <w:t xml:space="preserve">, </w:t>
      </w:r>
      <w:r>
        <w:rPr>
          <w:rFonts w:ascii="Consolas" w:hAnsi="Consolas"/>
          <w:color w:val="B03030"/>
          <w:sz w:val="20"/>
        </w:rPr>
        <w:t>predio_id</w:t>
      </w:r>
      <w:r>
        <w:t xml:space="preserve"> → </w:t>
      </w:r>
      <w:r>
        <w:rPr>
          <w:rFonts w:ascii="Consolas" w:hAnsi="Consolas"/>
          <w:color w:val="B03030"/>
          <w:sz w:val="20"/>
        </w:rPr>
        <w:t>LA_Predio</w:t>
      </w:r>
      <w:r>
        <w:t xml:space="preserve">, </w:t>
      </w:r>
      <w:r>
        <w:rPr>
          <w:rFonts w:ascii="Consolas" w:hAnsi="Consolas"/>
          <w:color w:val="B03030"/>
          <w:sz w:val="20"/>
        </w:rPr>
        <w:t>fuente_id</w:t>
      </w:r>
      <w:r>
        <w:t xml:space="preserve"> → </w:t>
      </w:r>
      <w:r>
        <w:rPr>
          <w:rFonts w:ascii="Consolas" w:hAnsi="Consolas"/>
          <w:color w:val="B03030"/>
          <w:sz w:val="20"/>
        </w:rPr>
        <w:t>LA_FuenteAdministrativa</w:t>
      </w:r>
      <w:r>
        <w:t>.</w:t>
      </w:r>
    </w:p>
    <w:p>
      <w:pPr>
        <w:pStyle w:val="ListBullet"/>
      </w:pPr>
      <w:r>
        <w:rPr>
          <w:b/>
        </w:rPr>
        <w:t>Concepto clave:</w:t>
      </w:r>
      <w:r>
        <w:t xml:space="preserve"> un derecho es la </w:t>
      </w:r>
      <w:r>
        <w:rPr>
          <w:b/>
        </w:rPr>
        <w:t>entidad asociativa</w:t>
      </w:r>
      <w:r>
        <w:t xml:space="preserve"> (tabla puente) que materializa la relación entre *quién* (interesado), *sobre qué* (predio) y *con qué soporte* (fuente). Conceptualmente, la relación «interesado posee predios» es de muchos-a-muchos; en el modelo relacional se resuelve </w:t>
      </w:r>
      <w:r>
        <w:rPr>
          <w:b/>
        </w:rPr>
        <w:t>siempre</w:t>
      </w:r>
      <w:r>
        <w:t xml:space="preserve"> con una tabla intermedia, que aquí además es una entidad propia del dominio (el derecho real de dominio).</w:t>
      </w:r>
    </w:p>
    <w:p>
      <w:pPr>
        <w:pStyle w:val="Heading2"/>
      </w:pPr>
      <w:r>
        <w:rPr>
          <w:color w:val="1B4F72"/>
        </w:rPr>
        <w:t xml:space="preserve">4.4 </w:t>
      </w:r>
      <w:r>
        <w:rPr>
          <w:rFonts w:ascii="Consolas" w:hAnsi="Consolas"/>
          <w:color w:val="1B4F72"/>
          <w:sz w:val="20"/>
        </w:rPr>
        <w:t>LA_FuenteAdministrativa</w:t>
      </w:r>
      <w:r>
        <w:rPr>
          <w:color w:val="1B4F72"/>
        </w:rPr>
        <w:t xml:space="preserve"> — la entidad «soporte documental»</w:t>
      </w:r>
    </w:p>
    <w:p>
      <w:pPr>
        <w:pStyle w:val="ListBullet"/>
      </w:pPr>
      <w:r>
        <w:rPr>
          <w:b/>
        </w:rPr>
        <w:t>Clave primaria:</w:t>
      </w:r>
      <w:r>
        <w:t xml:space="preserve"> </w:t>
      </w:r>
      <w:r>
        <w:rPr>
          <w:rFonts w:ascii="Consolas" w:hAnsi="Consolas"/>
          <w:color w:val="B03030"/>
          <w:sz w:val="20"/>
        </w:rPr>
        <w:t>T_Id</w:t>
      </w:r>
      <w:r>
        <w:t>.</w:t>
      </w:r>
    </w:p>
    <w:p>
      <w:pPr>
        <w:pStyle w:val="ListBullet"/>
      </w:pPr>
      <w:r>
        <w:rPr>
          <w:b/>
        </w:rPr>
        <w:t>Rol:</w:t>
      </w:r>
      <w:r>
        <w:t xml:space="preserve"> almacena la matrícula inmobiliaria (ORIP 450) como entidad independiente. Esto evita repetir el dato de la matrícula y permite que </w:t>
      </w:r>
      <w:r>
        <w:rPr>
          <w:b/>
        </w:rPr>
        <w:t>una fuente respalde uno o varios derechos</w:t>
      </w:r>
      <w:r>
        <w:t xml:space="preserve"> sin duplicación.</w:t>
      </w:r>
    </w:p>
    <w:p>
      <w:pPr>
        <w:pStyle w:val="Heading2"/>
      </w:pPr>
      <w:r>
        <w:rPr>
          <w:color w:val="1B4F72"/>
        </w:rPr>
        <w:t xml:space="preserve">4.5 </w:t>
      </w:r>
      <w:r>
        <w:rPr>
          <w:rFonts w:ascii="Consolas" w:hAnsi="Consolas"/>
          <w:color w:val="1B4F72"/>
          <w:sz w:val="20"/>
        </w:rPr>
        <w:t>U_Terreno</w:t>
      </w:r>
      <w:r>
        <w:rPr>
          <w:color w:val="1B4F72"/>
        </w:rPr>
        <w:t xml:space="preserve"> — la entidad espacial (*feature class*)</w:t>
      </w:r>
    </w:p>
    <w:p>
      <w:pPr>
        <w:pStyle w:val="ListBullet"/>
      </w:pPr>
      <w:r>
        <w:rPr>
          <w:b/>
        </w:rPr>
        <w:t>Clave primaria:</w:t>
      </w:r>
      <w:r>
        <w:t xml:space="preserve"> </w:t>
      </w:r>
      <w:r>
        <w:rPr>
          <w:rFonts w:ascii="Consolas" w:hAnsi="Consolas"/>
          <w:color w:val="B03030"/>
          <w:sz w:val="20"/>
        </w:rPr>
        <w:t>T_Id</w:t>
      </w:r>
      <w:r>
        <w:t xml:space="preserve">; </w:t>
      </w:r>
      <w:r>
        <w:rPr>
          <w:b/>
        </w:rPr>
        <w:t>clave foránea:</w:t>
      </w:r>
      <w:r>
        <w:t xml:space="preserve"> </w:t>
      </w:r>
      <w:r>
        <w:rPr>
          <w:rFonts w:ascii="Consolas" w:hAnsi="Consolas"/>
          <w:color w:val="B03030"/>
          <w:sz w:val="20"/>
        </w:rPr>
        <w:t>predio_id</w:t>
      </w:r>
      <w:r>
        <w:t xml:space="preserve"> → </w:t>
      </w:r>
      <w:r>
        <w:rPr>
          <w:rFonts w:ascii="Consolas" w:hAnsi="Consolas"/>
          <w:color w:val="B03030"/>
          <w:sz w:val="20"/>
        </w:rPr>
        <w:t>LA_Predio</w:t>
      </w:r>
      <w:r>
        <w:t>.</w:t>
      </w:r>
    </w:p>
    <w:p>
      <w:pPr>
        <w:pStyle w:val="ListBullet"/>
      </w:pPr>
      <w:r>
        <w:rPr>
          <w:b/>
        </w:rPr>
        <w:t>Rol:</w:t>
      </w:r>
      <w:r>
        <w:t xml:space="preserve"> separa la </w:t>
      </w:r>
      <w:r>
        <w:rPr>
          <w:b/>
        </w:rPr>
        <w:t>geometría</w:t>
      </w:r>
      <w:r>
        <w:t xml:space="preserve"> (el polígono) de los </w:t>
      </w:r>
      <w:r>
        <w:rPr>
          <w:b/>
        </w:rPr>
        <w:t>atributos alfanuméricos</w:t>
      </w:r>
      <w:r>
        <w:t xml:space="preserve"> del predio. Es la *Spatial Unit* del modelo. La relación con el predio es </w:t>
      </w:r>
      <w:r>
        <w:rPr>
          <w:b/>
        </w:rPr>
        <w:t>1:1</w:t>
      </w:r>
      <w:r>
        <w:t xml:space="preserve"> (cada predio tiene un terreno y viceversa, en este alcance). Separar geometría de atributos es buena práctica del modelado geoespacial: una entidad gráfica, una entidad descriptiva.</w:t>
      </w:r>
    </w:p>
    <w:p>
      <w:pPr>
        <w:pStyle w:val="Heading2"/>
      </w:pPr>
      <w:r>
        <w:rPr>
          <w:color w:val="1B4F72"/>
        </w:rPr>
        <w:t xml:space="preserve">4.6 </w:t>
      </w:r>
      <w:r>
        <w:rPr>
          <w:rFonts w:ascii="Consolas" w:hAnsi="Consolas"/>
          <w:color w:val="1B4F72"/>
          <w:sz w:val="20"/>
        </w:rPr>
        <w:t>CR_UnidadConstruccion</w:t>
      </w:r>
      <w:r>
        <w:rPr>
          <w:color w:val="1B4F72"/>
        </w:rPr>
        <w:t xml:space="preserve"> — entidad hija (Registro 2 físico)</w:t>
      </w:r>
    </w:p>
    <w:p>
      <w:pPr>
        <w:pStyle w:val="ListBullet"/>
      </w:pPr>
      <w:r>
        <w:rPr>
          <w:b/>
        </w:rPr>
        <w:t>Clave primaria:</w:t>
      </w:r>
      <w:r>
        <w:t xml:space="preserve"> </w:t>
      </w:r>
      <w:r>
        <w:rPr>
          <w:rFonts w:ascii="Consolas" w:hAnsi="Consolas"/>
          <w:color w:val="B03030"/>
          <w:sz w:val="20"/>
        </w:rPr>
        <w:t>T_Id</w:t>
      </w:r>
      <w:r>
        <w:t xml:space="preserve">; </w:t>
      </w:r>
      <w:r>
        <w:rPr>
          <w:b/>
        </w:rPr>
        <w:t>clave foránea:</w:t>
      </w:r>
      <w:r>
        <w:t xml:space="preserve"> </w:t>
      </w:r>
      <w:r>
        <w:rPr>
          <w:rFonts w:ascii="Consolas" w:hAnsi="Consolas"/>
          <w:color w:val="B03030"/>
          <w:sz w:val="20"/>
        </w:rPr>
        <w:t>predio_id</w:t>
      </w:r>
      <w:r>
        <w:t xml:space="preserve"> → </w:t>
      </w:r>
      <w:r>
        <w:rPr>
          <w:rFonts w:ascii="Consolas" w:hAnsi="Consolas"/>
          <w:color w:val="B03030"/>
          <w:sz w:val="20"/>
        </w:rPr>
        <w:t>LA_Predio</w:t>
      </w:r>
      <w:r>
        <w:t>.</w:t>
      </w:r>
    </w:p>
    <w:p>
      <w:pPr>
        <w:pStyle w:val="ListBullet"/>
      </w:pPr>
      <w:r>
        <w:rPr>
          <w:b/>
        </w:rPr>
        <w:t>Rol:</w:t>
      </w:r>
      <w:r>
        <w:t xml:space="preserve"> resuelve el </w:t>
      </w:r>
      <w:r>
        <w:rPr>
          <w:b/>
        </w:rPr>
        <w:t>grupo repetitivo</w:t>
      </w:r>
      <w:r>
        <w:t xml:space="preserve"> de hasta 3 construcciones por predio. En lugar de columnas repetidas (violación de 1FN), cada construcción es </w:t>
      </w:r>
      <w:r>
        <w:rPr>
          <w:b/>
        </w:rPr>
        <w:t>una fila</w:t>
      </w:r>
      <w:r>
        <w:t xml:space="preserve">. Relación con el predio: </w:t>
      </w:r>
      <w:r>
        <w:rPr>
          <w:b/>
        </w:rPr>
        <w:t>1:N</w:t>
      </w:r>
      <w:r>
        <w:t>.</w:t>
      </w:r>
    </w:p>
    <w:p>
      <w:pPr>
        <w:pStyle w:val="ListBullet"/>
      </w:pPr>
      <w:r>
        <w:rPr>
          <w:b/>
        </w:rPr>
        <w:t>Atributo con dominio:</w:t>
      </w:r>
      <w:r>
        <w:t xml:space="preserve"> </w:t>
      </w:r>
      <w:r>
        <w:rPr>
          <w:rFonts w:ascii="Consolas" w:hAnsi="Consolas"/>
          <w:color w:val="B03030"/>
          <w:sz w:val="20"/>
        </w:rPr>
        <w:t>estrato</w:t>
      </w:r>
      <w:r>
        <w:t xml:space="preserve"> (1..6).</w:t>
      </w:r>
    </w:p>
    <w:p>
      <w:pPr>
        <w:pStyle w:val="Heading2"/>
      </w:pPr>
      <w:r>
        <w:rPr>
          <w:color w:val="1B4F72"/>
        </w:rPr>
        <w:t xml:space="preserve">4.7 </w:t>
      </w:r>
      <w:r>
        <w:rPr>
          <w:rFonts w:ascii="Consolas" w:hAnsi="Consolas"/>
          <w:color w:val="1B4F72"/>
          <w:sz w:val="20"/>
        </w:rPr>
        <w:t>CR_ZonaHomogenea</w:t>
      </w:r>
      <w:r>
        <w:rPr>
          <w:color w:val="1B4F72"/>
        </w:rPr>
        <w:t xml:space="preserve"> — entidad hija (Registro 2 económico del terreno)</w:t>
      </w:r>
    </w:p>
    <w:p>
      <w:pPr>
        <w:pStyle w:val="ListBullet"/>
      </w:pPr>
      <w:r>
        <w:rPr>
          <w:b/>
        </w:rPr>
        <w:t>Clave primaria:</w:t>
      </w:r>
      <w:r>
        <w:t xml:space="preserve"> </w:t>
      </w:r>
      <w:r>
        <w:rPr>
          <w:rFonts w:ascii="Consolas" w:hAnsi="Consolas"/>
          <w:color w:val="B03030"/>
          <w:sz w:val="20"/>
        </w:rPr>
        <w:t>T_Id</w:t>
      </w:r>
      <w:r>
        <w:t xml:space="preserve">; </w:t>
      </w:r>
      <w:r>
        <w:rPr>
          <w:b/>
        </w:rPr>
        <w:t>clave foránea:</w:t>
      </w:r>
      <w:r>
        <w:t xml:space="preserve"> </w:t>
      </w:r>
      <w:r>
        <w:rPr>
          <w:rFonts w:ascii="Consolas" w:hAnsi="Consolas"/>
          <w:color w:val="B03030"/>
          <w:sz w:val="20"/>
        </w:rPr>
        <w:t>predio_id</w:t>
      </w:r>
      <w:r>
        <w:t xml:space="preserve"> → </w:t>
      </w:r>
      <w:r>
        <w:rPr>
          <w:rFonts w:ascii="Consolas" w:hAnsi="Consolas"/>
          <w:color w:val="B03030"/>
          <w:sz w:val="20"/>
        </w:rPr>
        <w:t>LA_Predio</w:t>
      </w:r>
      <w:r>
        <w:t>.</w:t>
      </w:r>
    </w:p>
    <w:p>
      <w:pPr>
        <w:pStyle w:val="ListBullet"/>
      </w:pPr>
      <w:r>
        <w:rPr>
          <w:b/>
        </w:rPr>
        <w:t>Rol:</w:t>
      </w:r>
      <w:r>
        <w:t xml:space="preserve"> igual lógica que la anterior, para hasta 2 segmentos de zona homogénea (física y geoeconómica). Relación </w:t>
      </w:r>
      <w:r>
        <w:rPr>
          <w:b/>
        </w:rPr>
        <w:t>1:N</w:t>
      </w:r>
      <w:r>
        <w:t>.</w:t>
      </w:r>
    </w:p>
    <w:p>
      <w:pPr>
        <w:pStyle w:val="Heading2"/>
      </w:pPr>
      <w:r>
        <w:rPr>
          <w:color w:val="1B4F72"/>
        </w:rPr>
        <w:t xml:space="preserve">4.8 </w:t>
      </w:r>
      <w:r>
        <w:rPr>
          <w:rFonts w:ascii="Consolas" w:hAnsi="Consolas"/>
          <w:color w:val="1B4F72"/>
          <w:sz w:val="20"/>
        </w:rPr>
        <w:t>AUD_Estandarizacion</w:t>
      </w:r>
      <w:r>
        <w:rPr>
          <w:color w:val="1B4F72"/>
        </w:rPr>
        <w:t xml:space="preserve"> — la tabla de trazabilidad (auditoría)</w:t>
      </w:r>
    </w:p>
    <w:p>
      <w:pPr>
        <w:pStyle w:val="ListBullet"/>
      </w:pPr>
      <w:r>
        <w:rPr>
          <w:b/>
        </w:rPr>
        <w:t>Enlace:</w:t>
      </w:r>
      <w:r>
        <w:t xml:space="preserve"> </w:t>
      </w:r>
      <w:r>
        <w:rPr>
          <w:rFonts w:ascii="Consolas" w:hAnsi="Consolas"/>
          <w:color w:val="B03030"/>
          <w:sz w:val="20"/>
        </w:rPr>
        <w:t>npn</w:t>
      </w:r>
      <w:r>
        <w:t>, que referencia el predio.</w:t>
      </w:r>
    </w:p>
    <w:p>
      <w:pPr>
        <w:pStyle w:val="ListBullet"/>
      </w:pPr>
      <w:r>
        <w:rPr>
          <w:b/>
        </w:rPr>
        <w:t>Rol:</w:t>
      </w:r>
      <w:r>
        <w:t xml:space="preserve"> conserva los </w:t>
      </w:r>
      <w:r>
        <w:rPr>
          <w:b/>
        </w:rPr>
        <w:t>valores originales</w:t>
      </w:r>
      <w:r>
        <w:t xml:space="preserve"> (nombre, NIT, condición, destino, PH tal como venían) antes de la estandarización. En términos de bases de datos es una </w:t>
      </w:r>
      <w:r>
        <w:rPr>
          <w:b/>
        </w:rPr>
        <w:t>tabla de auditoría / historización</w:t>
      </w:r>
      <w:r>
        <w:t>: documenta la procedencia del dato (*data lineage*) y permite revertir o verificar cualquier transformación. Garantiza que normalizar no destruya información: lo que se «limpió» queda registrado.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rPr>
          <w:color w:val="1B4F72"/>
        </w:rPr>
        <w:t>5. Claves e integridad referencial</w:t>
      </w:r>
    </w:p>
    <w:p>
      <w:r>
        <w:t>El modelo se sostiene sobre tres tipos de claves:</w:t>
      </w:r>
    </w:p>
    <w:p>
      <w:pPr>
        <w:pStyle w:val="ListBullet"/>
      </w:pPr>
      <w:r>
        <w:rPr>
          <w:b/>
        </w:rPr>
        <w:t>Clave primaria (PK):</w:t>
      </w:r>
      <w:r>
        <w:t xml:space="preserve"> </w:t>
      </w:r>
      <w:r>
        <w:rPr>
          <w:rFonts w:ascii="Consolas" w:hAnsi="Consolas"/>
          <w:color w:val="B03030"/>
          <w:sz w:val="20"/>
        </w:rPr>
        <w:t>T_Id</w:t>
      </w:r>
      <w:r>
        <w:t xml:space="preserve"> en cada tabla. Identificador artificial (*surrogate key*) único, estable, independiente de los datos descriptivos.</w:t>
      </w:r>
    </w:p>
    <w:p>
      <w:pPr>
        <w:pStyle w:val="ListBullet"/>
      </w:pPr>
      <w:r>
        <w:rPr>
          <w:b/>
        </w:rPr>
        <w:t>Clave natural / candidata:</w:t>
      </w:r>
      <w:r>
        <w:t xml:space="preserve"> </w:t>
      </w:r>
      <w:r>
        <w:rPr>
          <w:rFonts w:ascii="Consolas" w:hAnsi="Consolas"/>
          <w:color w:val="B03030"/>
          <w:sz w:val="20"/>
        </w:rPr>
        <w:t>npn</w:t>
      </w:r>
      <w:r>
        <w:t xml:space="preserve"> en </w:t>
      </w:r>
      <w:r>
        <w:rPr>
          <w:rFonts w:ascii="Consolas" w:hAnsi="Consolas"/>
          <w:color w:val="B03030"/>
          <w:sz w:val="20"/>
        </w:rPr>
        <w:t>LA_Predio</w:t>
      </w:r>
      <w:r>
        <w:t xml:space="preserve"> (identifica el predio en el mundo real).</w:t>
      </w:r>
    </w:p>
    <w:p>
      <w:pPr>
        <w:pStyle w:val="ListBullet"/>
      </w:pPr>
      <w:r>
        <w:rPr>
          <w:b/>
        </w:rPr>
        <w:t>Clave foránea (FK):</w:t>
      </w:r>
      <w:r>
        <w:t xml:space="preserve"> todo atributo </w:t>
      </w:r>
      <w:r>
        <w:rPr>
          <w:rFonts w:ascii="Consolas" w:hAnsi="Consolas"/>
          <w:color w:val="B03030"/>
          <w:sz w:val="20"/>
        </w:rPr>
        <w:t>*_id</w:t>
      </w:r>
      <w:r>
        <w:t xml:space="preserve"> apunta al </w:t>
      </w:r>
      <w:r>
        <w:rPr>
          <w:rFonts w:ascii="Consolas" w:hAnsi="Consolas"/>
          <w:color w:val="B03030"/>
          <w:sz w:val="20"/>
        </w:rPr>
        <w:t>T_Id</w:t>
      </w:r>
      <w:r>
        <w:t xml:space="preserve"> del registro padre. Esta convención uniforme («la FK del hijo guarda el T_Id del padre») hace explícita la </w:t>
      </w:r>
      <w:r>
        <w:rPr>
          <w:b/>
        </w:rPr>
        <w:t>integridad referencial</w:t>
      </w:r>
      <w:r>
        <w:t>: no puede existir un derecho sin predio e interesado válidos, ni una construcción huérfana.</w:t>
      </w:r>
    </w:p>
    <w:p>
      <w:r>
        <w:t xml:space="preserve">La </w:t>
      </w:r>
      <w:r>
        <w:rPr>
          <w:b/>
        </w:rPr>
        <w:t>integridad referencial</w:t>
      </w:r>
      <w:r>
        <w:t xml:space="preserve"> asegura que las relaciones declaradas nunca apunten a registros inexistentes; las </w:t>
      </w:r>
      <w:r>
        <w:rPr>
          <w:b/>
        </w:rPr>
        <w:t>relationship classes</w:t>
      </w:r>
      <w:r>
        <w:t xml:space="preserve"> del modelo físico hacen cumplir y navegar estos vínculos.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rPr>
          <w:color w:val="1B4F72"/>
        </w:rPr>
        <w:t>6. Integridad de dominio (listas controladas)</w:t>
      </w:r>
    </w:p>
    <w:p>
      <w:r>
        <w:t xml:space="preserve">Donde el insumo tenía texto libre o códigos crudos, el modelo define </w:t>
      </w:r>
      <w:r>
        <w:rPr>
          <w:b/>
        </w:rPr>
        <w:t>dominios</w:t>
      </w:r>
      <w:r>
        <w:t xml:space="preserve"> (en teoría relacional, restricciones </w:t>
      </w:r>
      <w:r>
        <w:rPr>
          <w:rFonts w:ascii="Consolas" w:hAnsi="Consolas"/>
          <w:color w:val="B03030"/>
          <w:sz w:val="20"/>
        </w:rPr>
        <w:t>CHECK</w:t>
      </w:r>
      <w:r>
        <w:t xml:space="preserve"> / catálogos de valores; en la GDB, *coded value domains*). Cada dominio es un par </w:t>
      </w:r>
      <w:r>
        <w:rPr>
          <w:b/>
        </w:rPr>
        <w:t>código → descripción</w:t>
      </w:r>
      <w:r>
        <w:t xml:space="preserve"> que restringe los valores admisibles de un campo: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B4F72"/>
          </w:tcPr>
          <w:p>
            <w:r>
              <w:rPr>
                <w:b/>
                <w:color w:val="FFFFFF"/>
              </w:rPr>
              <w:t>Dominio</w:t>
            </w:r>
          </w:p>
        </w:tc>
        <w:tc>
          <w:tcPr>
            <w:tcW w:type="dxa" w:w="4320"/>
            <w:shd w:val="clear" w:color="auto" w:fill="1B4F72"/>
          </w:tcPr>
          <w:p>
            <w:r>
              <w:rPr>
                <w:b/>
                <w:color w:val="FFFFFF"/>
              </w:rPr>
              <w:t>Campo(s) que controla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30"/>
                <w:sz w:val="20"/>
              </w:rPr>
              <w:t>dom_TipoInteresado</w:t>
            </w:r>
          </w:p>
        </w:tc>
        <w:tc>
          <w:tcPr>
            <w:tcW w:type="dxa" w:w="4320"/>
          </w:tcPr>
          <w:p>
            <w:r/>
            <w:r>
              <w:t>naturaleza del interesado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30"/>
                <w:sz w:val="20"/>
              </w:rPr>
              <w:t>dom_TipoDocumento</w:t>
            </w:r>
          </w:p>
        </w:tc>
        <w:tc>
          <w:tcPr>
            <w:tcW w:type="dxa" w:w="4320"/>
          </w:tcPr>
          <w:p>
            <w:r/>
            <w:r>
              <w:t>tipo de documento de identidad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30"/>
                <w:sz w:val="20"/>
              </w:rPr>
              <w:t>dom_TipoDerecho</w:t>
            </w:r>
          </w:p>
        </w:tc>
        <w:tc>
          <w:tcPr>
            <w:tcW w:type="dxa" w:w="4320"/>
          </w:tcPr>
          <w:p>
            <w:r/>
            <w:r>
              <w:t>tipo de derecho (dominio, posesión…)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30"/>
                <w:sz w:val="20"/>
              </w:rPr>
              <w:t>dom_CondicionPredio</w:t>
            </w:r>
          </w:p>
        </w:tc>
        <w:tc>
          <w:tcPr>
            <w:tcW w:type="dxa" w:w="4320"/>
          </w:tcPr>
          <w:p>
            <w:r/>
            <w:r>
              <w:t>bien de uso público / bien fiscal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30"/>
                <w:sz w:val="20"/>
              </w:rPr>
              <w:t>dom_TipoFuente</w:t>
            </w:r>
          </w:p>
        </w:tc>
        <w:tc>
          <w:tcPr>
            <w:tcW w:type="dxa" w:w="4320"/>
          </w:tcPr>
          <w:p>
            <w:r/>
            <w:r>
              <w:t>tipo de fuente administrativa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30"/>
                <w:sz w:val="20"/>
              </w:rPr>
              <w:t>dom_DestinoEconomico</w:t>
            </w:r>
          </w:p>
        </w:tc>
        <w:tc>
          <w:tcPr>
            <w:tcW w:type="dxa" w:w="4320"/>
          </w:tcPr>
          <w:p>
            <w:r/>
            <w:r>
              <w:t>destinación económica (código IGAC)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30"/>
                <w:sz w:val="20"/>
              </w:rPr>
              <w:t>dom_SiNo</w:t>
            </w:r>
          </w:p>
        </w:tc>
        <w:tc>
          <w:tcPr>
            <w:tcW w:type="dxa" w:w="4320"/>
          </w:tcPr>
          <w:p>
            <w:r/>
            <w:r>
              <w:t>propiedad horizontal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30"/>
                <w:sz w:val="20"/>
              </w:rPr>
              <w:t>dom_Estrato</w:t>
            </w:r>
          </w:p>
        </w:tc>
        <w:tc>
          <w:tcPr>
            <w:tcW w:type="dxa" w:w="4320"/>
          </w:tcPr>
          <w:p>
            <w:r/>
            <w:r>
              <w:t>estrato socioeconómico (1..6)</w:t>
            </w:r>
          </w:p>
        </w:tc>
      </w:tr>
    </w:tbl>
    <w:p/>
    <w:p>
      <w:r>
        <w:t xml:space="preserve">Beneficio teórico: se garantiza la </w:t>
      </w:r>
      <w:r>
        <w:rPr>
          <w:b/>
        </w:rPr>
        <w:t>consistencia de los valores categóricos</w:t>
      </w:r>
      <w:r>
        <w:t xml:space="preserve"> (no más «Público»/«P�blico»/«PUBLICO» como tres valores distintos) y se habilita decodificación legible sin almacenar la descripción en cada fila (evita dependencia transitiva → 3FN).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rPr>
          <w:color w:val="1B4F72"/>
        </w:rPr>
        <w:t>7. Cardinalidades del modelo (modelo entidad-relación)</w:t>
      </w:r>
    </w:p>
    <w:p>
      <w:r>
        <w:t>Las relaciones y sus cardinalidades, tal como las muestra el esquema PNG: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B4F72"/>
          </w:tcPr>
          <w:p>
            <w:r>
              <w:rPr>
                <w:b/>
                <w:color w:val="FFFFFF"/>
              </w:rPr>
              <w:t>Relación</w:t>
            </w:r>
          </w:p>
        </w:tc>
        <w:tc>
          <w:tcPr>
            <w:tcW w:type="dxa" w:w="2880"/>
            <w:shd w:val="clear" w:color="auto" w:fill="1B4F72"/>
          </w:tcPr>
          <w:p>
            <w:r>
              <w:rPr>
                <w:b/>
                <w:color w:val="FFFFFF"/>
              </w:rPr>
              <w:t>Cardinalidad</w:t>
            </w:r>
          </w:p>
        </w:tc>
        <w:tc>
          <w:tcPr>
            <w:tcW w:type="dxa" w:w="2880"/>
            <w:shd w:val="clear" w:color="auto" w:fill="1B4F72"/>
          </w:tcPr>
          <w:p>
            <w:r>
              <w:rPr>
                <w:b/>
                <w:color w:val="FFFFFF"/>
              </w:rPr>
              <w:t>Lectura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30"/>
                <w:sz w:val="20"/>
              </w:rPr>
              <w:t>LA_Interesado</w:t>
            </w:r>
            <w:r>
              <w:t xml:space="preserve"> — </w:t>
            </w:r>
            <w:r>
              <w:rPr>
                <w:rFonts w:ascii="Consolas" w:hAnsi="Consolas"/>
                <w:color w:val="B03030"/>
                <w:sz w:val="20"/>
              </w:rPr>
              <w:t>LA_Derecho</w:t>
            </w:r>
          </w:p>
        </w:tc>
        <w:tc>
          <w:tcPr>
            <w:tcW w:type="dxa" w:w="2880"/>
          </w:tcPr>
          <w:p>
            <w:r/>
            <w:r>
              <w:t>1 : N</w:t>
            </w:r>
          </w:p>
        </w:tc>
        <w:tc>
          <w:tcPr>
            <w:tcW w:type="dxa" w:w="2880"/>
          </w:tcPr>
          <w:p>
            <w:r/>
            <w:r>
              <w:t>un interesado es titular de varios derechos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30"/>
                <w:sz w:val="20"/>
              </w:rPr>
              <w:t>LA_Predio</w:t>
            </w:r>
            <w:r>
              <w:t xml:space="preserve"> — </w:t>
            </w:r>
            <w:r>
              <w:rPr>
                <w:rFonts w:ascii="Consolas" w:hAnsi="Consolas"/>
                <w:color w:val="B03030"/>
                <w:sz w:val="20"/>
              </w:rPr>
              <w:t>LA_Derecho</w:t>
            </w:r>
          </w:p>
        </w:tc>
        <w:tc>
          <w:tcPr>
            <w:tcW w:type="dxa" w:w="2880"/>
          </w:tcPr>
          <w:p>
            <w:r/>
            <w:r>
              <w:t>1 : N</w:t>
            </w:r>
          </w:p>
        </w:tc>
        <w:tc>
          <w:tcPr>
            <w:tcW w:type="dxa" w:w="2880"/>
          </w:tcPr>
          <w:p>
            <w:r/>
            <w:r>
              <w:t>sobre un predio pueden recaer varios derechos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30"/>
                <w:sz w:val="20"/>
              </w:rPr>
              <w:t>LA_FuenteAdministrativa</w:t>
            </w:r>
            <w:r>
              <w:t xml:space="preserve"> — </w:t>
            </w:r>
            <w:r>
              <w:rPr>
                <w:rFonts w:ascii="Consolas" w:hAnsi="Consolas"/>
                <w:color w:val="B03030"/>
                <w:sz w:val="20"/>
              </w:rPr>
              <w:t>LA_Derecho</w:t>
            </w:r>
          </w:p>
        </w:tc>
        <w:tc>
          <w:tcPr>
            <w:tcW w:type="dxa" w:w="2880"/>
          </w:tcPr>
          <w:p>
            <w:r/>
            <w:r>
              <w:t>1 : N</w:t>
            </w:r>
          </w:p>
        </w:tc>
        <w:tc>
          <w:tcPr>
            <w:tcW w:type="dxa" w:w="2880"/>
          </w:tcPr>
          <w:p>
            <w:r/>
            <w:r>
              <w:t>una fuente soporta varios derechos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30"/>
                <w:sz w:val="20"/>
              </w:rPr>
              <w:t>LA_Predio</w:t>
            </w:r>
            <w:r>
              <w:t xml:space="preserve"> — </w:t>
            </w:r>
            <w:r>
              <w:rPr>
                <w:rFonts w:ascii="Consolas" w:hAnsi="Consolas"/>
                <w:color w:val="B03030"/>
                <w:sz w:val="20"/>
              </w:rPr>
              <w:t>U_Terreno</w:t>
            </w:r>
          </w:p>
        </w:tc>
        <w:tc>
          <w:tcPr>
            <w:tcW w:type="dxa" w:w="2880"/>
          </w:tcPr>
          <w:p>
            <w:r/>
            <w:r>
              <w:t>1 : 1</w:t>
            </w:r>
          </w:p>
        </w:tc>
        <w:tc>
          <w:tcPr>
            <w:tcW w:type="dxa" w:w="2880"/>
          </w:tcPr>
          <w:p>
            <w:r/>
            <w:r>
              <w:t>cada predio tiene un terreno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30"/>
                <w:sz w:val="20"/>
              </w:rPr>
              <w:t>LA_Predio</w:t>
            </w:r>
            <w:r>
              <w:t xml:space="preserve"> — </w:t>
            </w:r>
            <w:r>
              <w:rPr>
                <w:rFonts w:ascii="Consolas" w:hAnsi="Consolas"/>
                <w:color w:val="B03030"/>
                <w:sz w:val="20"/>
              </w:rPr>
              <w:t>CR_UnidadConstruccion</w:t>
            </w:r>
          </w:p>
        </w:tc>
        <w:tc>
          <w:tcPr>
            <w:tcW w:type="dxa" w:w="2880"/>
          </w:tcPr>
          <w:p>
            <w:r/>
            <w:r>
              <w:t>1 : N</w:t>
            </w:r>
          </w:p>
        </w:tc>
        <w:tc>
          <w:tcPr>
            <w:tcW w:type="dxa" w:w="2880"/>
          </w:tcPr>
          <w:p>
            <w:r/>
            <w:r>
              <w:t>un predio tiene varias construcciones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30"/>
                <w:sz w:val="20"/>
              </w:rPr>
              <w:t>LA_Predio</w:t>
            </w:r>
            <w:r>
              <w:t xml:space="preserve"> — </w:t>
            </w:r>
            <w:r>
              <w:rPr>
                <w:rFonts w:ascii="Consolas" w:hAnsi="Consolas"/>
                <w:color w:val="B03030"/>
                <w:sz w:val="20"/>
              </w:rPr>
              <w:t>CR_ZonaHomogenea</w:t>
            </w:r>
          </w:p>
        </w:tc>
        <w:tc>
          <w:tcPr>
            <w:tcW w:type="dxa" w:w="2880"/>
          </w:tcPr>
          <w:p>
            <w:r/>
            <w:r>
              <w:t>1 : N</w:t>
            </w:r>
          </w:p>
        </w:tc>
        <w:tc>
          <w:tcPr>
            <w:tcW w:type="dxa" w:w="2880"/>
          </w:tcPr>
          <w:p>
            <w:r/>
            <w:r>
              <w:t>un predio tiene varios segmentos de zona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30"/>
                <w:sz w:val="20"/>
              </w:rPr>
              <w:t>LA_Predio</w:t>
            </w:r>
            <w:r>
              <w:t xml:space="preserve"> — </w:t>
            </w:r>
            <w:r>
              <w:rPr>
                <w:rFonts w:ascii="Consolas" w:hAnsi="Consolas"/>
                <w:color w:val="B03030"/>
                <w:sz w:val="20"/>
              </w:rPr>
              <w:t>AUD_Estandarizacion</w:t>
            </w:r>
          </w:p>
        </w:tc>
        <w:tc>
          <w:tcPr>
            <w:tcW w:type="dxa" w:w="2880"/>
          </w:tcPr>
          <w:p>
            <w:r/>
            <w:r>
              <w:t>1 : 1</w:t>
            </w:r>
          </w:p>
        </w:tc>
        <w:tc>
          <w:tcPr>
            <w:tcW w:type="dxa" w:w="2880"/>
          </w:tcPr>
          <w:p>
            <w:r/>
            <w:r>
              <w:t>un predio tiene su registro de auditoría</w:t>
            </w:r>
          </w:p>
        </w:tc>
      </w:tr>
    </w:tbl>
    <w:p/>
    <w:p>
      <w:r>
        <w:t xml:space="preserve">La relación lógica </w:t>
      </w:r>
      <w:r>
        <w:rPr>
          <w:b/>
        </w:rPr>
        <w:t>interesado ↔ predio</w:t>
      </w:r>
      <w:r>
        <w:t xml:space="preserve"> es de muchos-a-muchos (N:M) y queda </w:t>
      </w:r>
      <w:r>
        <w:rPr>
          <w:b/>
        </w:rPr>
        <w:t>resuelta</w:t>
      </w:r>
      <w:r>
        <w:t xml:space="preserve"> a través de la entidad asociativa </w:t>
      </w:r>
      <w:r>
        <w:rPr>
          <w:rFonts w:ascii="Consolas" w:hAnsi="Consolas"/>
          <w:color w:val="B03030"/>
          <w:sz w:val="20"/>
        </w:rPr>
        <w:t>LA_Derecho</w:t>
      </w:r>
      <w:r>
        <w:t>, que la descompone en dos relaciones 1:N. Esta es la técnica estándar para implementar N:M en el modelo relacional.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rPr>
          <w:color w:val="1B4F72"/>
        </w:rPr>
        <w:t>8. Calidad de datos y reducción de redundancia (antes / después)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B4F72"/>
          </w:tcPr>
          <w:p>
            <w:r>
              <w:rPr>
                <w:b/>
                <w:color w:val="FFFFFF"/>
              </w:rPr>
              <w:t>Dimensión</w:t>
            </w:r>
          </w:p>
        </w:tc>
        <w:tc>
          <w:tcPr>
            <w:tcW w:type="dxa" w:w="2880"/>
            <w:shd w:val="clear" w:color="auto" w:fill="1B4F72"/>
          </w:tcPr>
          <w:p>
            <w:r>
              <w:rPr>
                <w:b/>
                <w:color w:val="FFFFFF"/>
              </w:rPr>
              <w:t>Antes (tabla plana)</w:t>
            </w:r>
          </w:p>
        </w:tc>
        <w:tc>
          <w:tcPr>
            <w:tcW w:type="dxa" w:w="2880"/>
            <w:shd w:val="clear" w:color="auto" w:fill="1B4F72"/>
          </w:tcPr>
          <w:p>
            <w:r>
              <w:rPr>
                <w:b/>
                <w:color w:val="FFFFFF"/>
              </w:rPr>
              <w:t>Después (modelo normalizado)</w:t>
            </w:r>
          </w:p>
        </w:tc>
      </w:tr>
      <w:tr>
        <w:tc>
          <w:tcPr>
            <w:tcW w:type="dxa" w:w="2880"/>
          </w:tcPr>
          <w:p>
            <w:r/>
            <w:r>
              <w:t>Estructura</w:t>
            </w:r>
          </w:p>
        </w:tc>
        <w:tc>
          <w:tcPr>
            <w:tcW w:type="dxa" w:w="2880"/>
          </w:tcPr>
          <w:p>
            <w:r/>
            <w:r>
              <w:t>1 tabla, ~80 columnas</w:t>
            </w:r>
          </w:p>
        </w:tc>
        <w:tc>
          <w:tcPr>
            <w:tcW w:type="dxa" w:w="2880"/>
          </w:tcPr>
          <w:p>
            <w:r/>
            <w:r>
              <w:t>8 entidades relacionadas + auditoría</w:t>
            </w:r>
          </w:p>
        </w:tc>
      </w:tr>
      <w:tr>
        <w:tc>
          <w:tcPr>
            <w:tcW w:type="dxa" w:w="2880"/>
          </w:tcPr>
          <w:p>
            <w:r/>
            <w:r>
              <w:t>Filas</w:t>
            </w:r>
          </w:p>
        </w:tc>
        <w:tc>
          <w:tcPr>
            <w:tcW w:type="dxa" w:w="2880"/>
          </w:tcPr>
          <w:p>
            <w:r/>
            <w:r>
              <w:t>884 mezcladas</w:t>
            </w:r>
          </w:p>
        </w:tc>
        <w:tc>
          <w:tcPr>
            <w:tcW w:type="dxa" w:w="2880"/>
          </w:tcPr>
          <w:p>
            <w:r/>
            <w:r>
              <w:t>70 predios (alcance verificado)</w:t>
            </w:r>
          </w:p>
        </w:tc>
      </w:tr>
      <w:tr>
        <w:tc>
          <w:tcPr>
            <w:tcW w:type="dxa" w:w="2880"/>
          </w:tcPr>
          <w:p>
            <w:r/>
            <w:r>
              <w:t>Propietario</w:t>
            </w:r>
          </w:p>
        </w:tc>
        <w:tc>
          <w:tcPr>
            <w:tcW w:type="dxa" w:w="2880"/>
          </w:tcPr>
          <w:p>
            <w:r/>
            <w:r>
              <w:t>~24 variantes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 registro canónico</w:t>
            </w:r>
          </w:p>
        </w:tc>
      </w:tr>
      <w:tr>
        <w:tc>
          <w:tcPr>
            <w:tcW w:type="dxa" w:w="2880"/>
          </w:tcPr>
          <w:p>
            <w:r/>
            <w:r>
              <w:t>NIT</w:t>
            </w:r>
          </w:p>
        </w:tc>
        <w:tc>
          <w:tcPr>
            <w:tcW w:type="dxa" w:w="2880"/>
          </w:tcPr>
          <w:p>
            <w:r/>
            <w:r>
              <w:t>6 grafías con erratas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 valor: 892400038-2</w:t>
            </w:r>
          </w:p>
        </w:tc>
      </w:tr>
      <w:tr>
        <w:tc>
          <w:tcPr>
            <w:tcW w:type="dxa" w:w="2880"/>
          </w:tcPr>
          <w:p>
            <w:r/>
            <w:r>
              <w:t>Valores categóricos</w:t>
            </w:r>
          </w:p>
        </w:tc>
        <w:tc>
          <w:tcPr>
            <w:tcW w:type="dxa" w:w="2880"/>
          </w:tcPr>
          <w:p>
            <w:r/>
            <w:r>
              <w:t>texto libre / códigos crudos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8 dominios</w:t>
            </w:r>
            <w:r>
              <w:t xml:space="preserve"> controlados</w:t>
            </w:r>
          </w:p>
        </w:tc>
      </w:tr>
      <w:tr>
        <w:tc>
          <w:tcPr>
            <w:tcW w:type="dxa" w:w="2880"/>
          </w:tcPr>
          <w:p>
            <w:r/>
            <w:r>
              <w:t>Grupos repetitivos</w:t>
            </w:r>
          </w:p>
        </w:tc>
        <w:tc>
          <w:tcPr>
            <w:tcW w:type="dxa" w:w="2880"/>
          </w:tcPr>
          <w:p>
            <w:r/>
            <w:r>
              <w:t xml:space="preserve">columnas </w:t>
            </w:r>
            <w:r>
              <w:rPr>
                <w:rFonts w:ascii="Consolas" w:hAnsi="Consolas"/>
                <w:color w:val="B03030"/>
                <w:sz w:val="20"/>
              </w:rPr>
              <w:t>_1</w:t>
            </w:r>
            <w:r>
              <w:t xml:space="preserve">, </w:t>
            </w:r>
            <w:r>
              <w:rPr>
                <w:rFonts w:ascii="Consolas" w:hAnsi="Consolas"/>
                <w:color w:val="B03030"/>
                <w:sz w:val="20"/>
              </w:rPr>
              <w:t>_2</w:t>
            </w:r>
            <w:r>
              <w:t xml:space="preserve"> en la misma fila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filas</w:t>
            </w:r>
            <w:r>
              <w:t xml:space="preserve"> en tablas hijas (1FN)</w:t>
            </w:r>
          </w:p>
        </w:tc>
      </w:tr>
      <w:tr>
        <w:tc>
          <w:tcPr>
            <w:tcW w:type="dxa" w:w="2880"/>
          </w:tcPr>
          <w:p>
            <w:r/>
            <w:r>
              <w:t>Trazabilidad</w:t>
            </w:r>
          </w:p>
        </w:tc>
        <w:tc>
          <w:tcPr>
            <w:tcW w:type="dxa" w:w="2880"/>
          </w:tcPr>
          <w:p>
            <w:r/>
            <w:r>
              <w:t>inexistente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tabla de auditoría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1"/>
      </w:pPr>
      <w:r>
        <w:rPr>
          <w:color w:val="1B4F72"/>
        </w:rPr>
        <w:t>9. Síntesis conceptual</w:t>
      </w:r>
    </w:p>
    <w:p>
      <w:r>
        <w:t xml:space="preserve">La adaptación es, en esencia, una </w:t>
      </w:r>
      <w:r>
        <w:rPr>
          <w:b/>
        </w:rPr>
        <w:t>descomposición sin pérdida</w:t>
      </w:r>
      <w:r>
        <w:t xml:space="preserve"> (*lossless decomposition*) de una relación universal en un esquema normalizado:</w:t>
      </w:r>
    </w:p>
    <w:p>
      <w:pPr>
        <w:pStyle w:val="ListNumber"/>
      </w:pPr>
      <w:r>
        <w:t xml:space="preserve">Se identificaron las </w:t>
      </w:r>
      <w:r>
        <w:rPr>
          <w:b/>
        </w:rPr>
        <w:t>entidades reales</w:t>
      </w:r>
      <w:r>
        <w:t xml:space="preserve"> ocultas en la tabla plana.</w:t>
      </w:r>
    </w:p>
    <w:p>
      <w:pPr>
        <w:pStyle w:val="ListNumber"/>
      </w:pPr>
      <w:r>
        <w:t xml:space="preserve">Cada entidad recibió su propia relación con </w:t>
      </w:r>
      <w:r>
        <w:rPr>
          <w:b/>
        </w:rPr>
        <w:t>clave primaria</w:t>
      </w:r>
      <w:r>
        <w:t xml:space="preserve"> estable (</w:t>
      </w:r>
      <w:r>
        <w:rPr>
          <w:rFonts w:ascii="Consolas" w:hAnsi="Consolas"/>
          <w:color w:val="B03030"/>
          <w:sz w:val="20"/>
        </w:rPr>
        <w:t>T_Id</w:t>
      </w:r>
      <w:r>
        <w:t>).</w:t>
      </w:r>
    </w:p>
    <w:p>
      <w:pPr>
        <w:pStyle w:val="ListNumber"/>
      </w:pPr>
      <w:r>
        <w:t xml:space="preserve">Las relaciones entre entidades se expresaron con </w:t>
      </w:r>
      <w:r>
        <w:rPr>
          <w:b/>
        </w:rPr>
        <w:t>claves foráneas</w:t>
      </w:r>
      <w:r>
        <w:t xml:space="preserve"> e </w:t>
      </w:r>
      <w:r>
        <w:rPr>
          <w:b/>
        </w:rPr>
        <w:t>integridad referencial</w:t>
      </w:r>
      <w:r>
        <w:t xml:space="preserve">, resolviendo la relación N:M mediante la </w:t>
      </w:r>
      <w:r>
        <w:rPr>
          <w:b/>
        </w:rPr>
        <w:t>entidad asociativa</w:t>
      </w:r>
      <w:r>
        <w:t xml:space="preserve"> </w:t>
      </w:r>
      <w:r>
        <w:rPr>
          <w:rFonts w:ascii="Consolas" w:hAnsi="Consolas"/>
          <w:color w:val="B03030"/>
          <w:sz w:val="20"/>
        </w:rPr>
        <w:t>LA_Derecho</w:t>
      </w:r>
      <w:r>
        <w:t>.</w:t>
      </w:r>
    </w:p>
    <w:p>
      <w:pPr>
        <w:pStyle w:val="ListNumber"/>
      </w:pPr>
      <w:r>
        <w:t xml:space="preserve">Los </w:t>
      </w:r>
      <w:r>
        <w:rPr>
          <w:b/>
        </w:rPr>
        <w:t>grupos repetitivos</w:t>
      </w:r>
      <w:r>
        <w:t xml:space="preserve"> (construcciones, zonas) se llevaron a </w:t>
      </w:r>
      <w:r>
        <w:rPr>
          <w:b/>
        </w:rPr>
        <w:t>tablas hijas</w:t>
      </w:r>
      <w:r>
        <w:t xml:space="preserve"> (1FN).</w:t>
      </w:r>
    </w:p>
    <w:p>
      <w:pPr>
        <w:pStyle w:val="ListNumber"/>
      </w:pPr>
      <w:r>
        <w:t xml:space="preserve">Los </w:t>
      </w:r>
      <w:r>
        <w:rPr>
          <w:b/>
        </w:rPr>
        <w:t>valores categóricos</w:t>
      </w:r>
      <w:r>
        <w:t xml:space="preserve"> se restringieron con </w:t>
      </w:r>
      <w:r>
        <w:rPr>
          <w:b/>
        </w:rPr>
        <w:t>dominios</w:t>
      </w:r>
      <w:r>
        <w:t xml:space="preserve"> (integridad de dominio, 3FN).</w:t>
      </w:r>
    </w:p>
    <w:p>
      <w:pPr>
        <w:pStyle w:val="ListNumber"/>
      </w:pPr>
      <w:r>
        <w:t xml:space="preserve">Se preservó la </w:t>
      </w:r>
      <w:r>
        <w:rPr>
          <w:b/>
        </w:rPr>
        <w:t>procedencia</w:t>
      </w:r>
      <w:r>
        <w:t xml:space="preserve"> del dato en una </w:t>
      </w:r>
      <w:r>
        <w:rPr>
          <w:b/>
        </w:rPr>
        <w:t>tabla de auditoría</w:t>
      </w:r>
      <w:r>
        <w:t>, garantizando una transformación reversible y verificable.</w:t>
      </w:r>
    </w:p>
    <w:p>
      <w:r>
        <w:t>El resultado es una base de datos que elimina la redundancia, previene las anomalías de inserción/actualización/borrado y se alinea con un estándar internacional (ISO 19152 / LADM-COL), manteniendo además la dimensión espacial integrada con la alfanumérica.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