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Pacte du Bilan Français</w:t>
      </w:r>
    </w:p>
    <w:p>
      <w:pPr>
        <w:jc w:val="left"/>
      </w:pPr>
      <w:r>
        <w:rPr>
          <w:i/>
          <w:color w:val="666666"/>
          <w:sz w:val="24"/>
        </w:rPr>
        <w:t>Mobiliser une fois le bilan privé pour restaurer le bilan public et transformer la capacité productive — proposition de recherche 2027–2040</w:t>
      </w:r>
    </w:p>
    <w:p>
      <w:r>
        <w:rPr>
          <w:color w:val="666666"/>
          <w:sz w:val="18"/>
        </w:rPr>
        <w:t>France 2040 · Document de travail · 28 septembre 2026</w:t>
      </w:r>
    </w:p>
    <w:p/>
    <w:p>
      <w:pPr>
        <w:pStyle w:val="Heading1"/>
      </w:pPr>
      <w:r>
        <w:t>Résumé exécutif</w:t>
      </w:r>
    </w:p>
    <w:p>
      <w:r>
        <w:t>La France entre dans une période où trois contraintes se superposent : finances publiques dégradées, vieillissement démographique et besoin d’investissement productif. En parallèle, le bilan des ménages est considérable : près de 15 000 Md€ de patrimoine fin 2024, dont une part importante immobilière. Le Pacte du Bilan Français explore une idée simple mais radicale : utiliser une seule fois une fraction prudente de cette capacité patrimoniale pour ouvrir une fenêtre macroéconomique de transition, pendant que l’État rétablit sa trajectoire budgétaire et que l’économie augmente son offre productive.</w:t>
      </w:r>
    </w:p>
    <w:p>
      <w:r>
        <w:t>Le mécanisme central n’est pas une relance permanente par la dette. Le scénario de travail mobilise environ 700 Md€ de crédit net nouveau entre 2027 et 2040, avec une montée puis une extinction programmée. Le produit envisagé est principalement à taux fixe, de longue durée et interest-only, avec un LTV consolidé prudent de l’ordre de 40–50 %. La réussite du Pacte se mesure précisément au fait qu’en 2040 la France n’a plus besoin d’accélérer ce crédit.</w:t>
      </w:r>
    </w:p>
    <w:p>
      <w:r>
        <w:t>Le Pacte n’est donc défendable que comme contrat à quatre engagements : réforme patrimoniale et financière ; expansion de l’offre domestique et de l’investissement ; emploi et sécurité de revenu ; discipline budgétaire publique contraignante.</w:t>
      </w:r>
    </w:p>
    <w:p>
      <w:pPr>
        <w:pStyle w:val="Heading1"/>
      </w:pPr>
      <w:r>
        <w:t>1. Le paradoxe du bilan français</w:t>
      </w:r>
    </w:p>
    <w:p>
      <w:r>
        <w:t>Fin 2025, la dette publique française atteint 115,6 % du PIB et le déficit 5,1 %. Le PIB nominal 2025 est proche de 3 000 Md€. À l’inverse, le patrimoine des ménages atteignait 14 953 Md€ fin 2024. Le problème français peut donc être lu non seulement comme un problème de flux budgétaires, mais aussi comme une mauvaise articulation entre un bilan public très endetté et un bilan privé fortement capitalisé.</w:t>
      </w:r>
    </w:p>
    <w:p>
      <w:r>
        <w:t>Cette lecture ne signifie pas que le patrimoine privé appartient à l’État. Au contraire : le mécanisme repose sur des décisions volontaires des ménages, une intermédiation bancaire privée et des garde-fous prudentiels. L’État crée le cadre ; il ne saisit pas le patrimoine.</w:t>
      </w:r>
    </w:p>
    <w:p>
      <w:pPr>
        <w:pStyle w:val="Heading1"/>
      </w:pPr>
      <w:r>
        <w:t>2. La proposition</w:t>
      </w:r>
    </w:p>
    <w:p>
      <w:pPr>
        <w:pStyle w:val="ListBullet"/>
      </w:pPr>
      <w:r>
        <w:t>Créer un cadre national de mobilisation volontaire de l’équité immobilière, avec prêts longs principalement à taux fixe et intérêt seul.</w:t>
      </w:r>
    </w:p>
    <w:p>
      <w:pPr>
        <w:pStyle w:val="ListBullet"/>
      </w:pPr>
      <w:r>
        <w:t>Limiter le levier par un LTV consolidé cible de 40–50 %, calculé sur l’ensemble des dettes garanties par le logement.</w:t>
      </w:r>
    </w:p>
    <w:p>
      <w:pPr>
        <w:pStyle w:val="ListBullet"/>
      </w:pPr>
      <w:r>
        <w:t>Faire monter le flux de crédit progressivement, puis le réduire jusqu’à zéro en 2040 : 25, 45, 65, 80, 90, 90, 80, 70, 55, 40, 30, 20, 10, 0 Md€ de crédit net annuel, soit 700 Md€ cumulés.</w:t>
      </w:r>
    </w:p>
    <w:p>
      <w:pPr>
        <w:pStyle w:val="ListBullet"/>
      </w:pPr>
      <w:r>
        <w:t>Accompagner la demande créée par un programme d’offre : logement, énergie, rénovation, industrie, services domestiques, infrastructures et capital productif.</w:t>
      </w:r>
    </w:p>
    <w:p>
      <w:pPr>
        <w:pStyle w:val="ListBullet"/>
      </w:pPr>
      <w:r>
        <w:t>Inscrire une règle de dépense publique nominale et suivre le « Pacte Spread » : croissance du PIB nominal moins croissance nominale de la dépense publique.</w:t>
      </w:r>
    </w:p>
    <w:p>
      <w:pPr>
        <w:pStyle w:val="Heading1"/>
      </w:pPr>
      <w:r>
        <w:t>3. Le mécanisme macroéconomique</w:t>
      </w:r>
    </w:p>
    <w:p>
      <w:r>
        <w:t>Le modèle de recherche sépare quatre moteurs : (1) crédit → demande → PIB réel ; (2) inflation/déflateur → PIB nominal ; (3) immobilier → valeur des garanties → LTV ; (4) discipline de dépense → trajectoire dette/PIB. Cette séparation évite de faire du prix immobilier la source mécanique de la croissance réelle.</w:t>
      </w:r>
    </w:p>
    <w:p>
      <w:r>
        <w:t>Identité de travail : croissance du PIB nominal = croissance réelle sous-jacente + croissance réelle attribuable au Pacte + déflateur du PIB. Le scénario central utilise 1,0 % de croissance réelle sous-jacente et 2,5 % de déflateur comme hypothèses éditables, non comme prévisions.</w:t>
      </w:r>
    </w:p>
    <w:p>
      <w:r>
        <w:t>Le canal du crédit doit être calibré par un multiplicateur et surtout par une part de dépense domestique additionnelle. Un euro emprunté n’est pas un euro de PIB : une partie épargne, rembourse d’autres dettes, achète des actifs existants ou fuit en importations. Le modèle Excel joint rend ces paramètres explicites.</w:t>
      </w:r>
    </w:p>
    <w:p>
      <w:pPr>
        <w:pStyle w:val="Heading1"/>
      </w:pPr>
      <w:r>
        <w:t>4. La règle budgétaire : le Pacte Spread</w:t>
      </w:r>
    </w:p>
    <w:p>
      <w:r>
        <w:t>Le KPI central est volontairement simple : Pacte Spread = croissance nominale du PIB – croissance nominale des dépenses publiques. Tant que le spread est durablement positif, le poids des dépenses et, toutes choses égales par ailleurs, celui de la dette peuvent se réduire sans exiger une austérité nominale. Le scénario central teste une croissance nominale des dépenses de 2,0 % et cherche un spread de l’ordre de 1,5 à 3,2 points selon les années.</w:t>
      </w:r>
    </w:p>
    <w:p>
      <w:r>
        <w:t>La règle ne remplace pas un modèle complet de dette : intérêts, recettes, déficit primaire et opérations financières doivent être modélisés séparément. Elle sert de boussole politique et de test de cohérence.</w:t>
      </w:r>
    </w:p>
    <w:p>
      <w:pPr>
        <w:pStyle w:val="Heading1"/>
      </w:pPr>
      <w:r>
        <w:t>5. Le contrat social</w:t>
      </w:r>
    </w:p>
    <w:tbl>
      <w:tblPr>
        <w:tblStyle w:val="LightShading-Accent1"/>
        <w:tblW w:type="auto" w:w="0"/>
        <w:tblLook w:firstColumn="1" w:firstRow="1" w:lastColumn="0" w:lastRow="0" w:noHBand="0" w:noVBand="1" w:val="04A0"/>
      </w:tblPr>
      <w:tblGrid>
        <w:gridCol w:w="5040"/>
        <w:gridCol w:w="5040"/>
      </w:tblGrid>
      <w:tr>
        <w:tc>
          <w:tcPr>
            <w:tcW w:type="dxa" w:w="5040"/>
          </w:tcPr>
          <w:p>
            <w:r>
              <w:t>Engagement</w:t>
            </w:r>
          </w:p>
        </w:tc>
        <w:tc>
          <w:tcPr>
            <w:tcW w:type="dxa" w:w="5040"/>
          </w:tcPr>
          <w:p>
            <w:r>
              <w:t>Contenu</w:t>
            </w:r>
          </w:p>
        </w:tc>
      </w:tr>
      <w:tr>
        <w:tc>
          <w:tcPr>
            <w:tcW w:type="dxa" w:w="5040"/>
          </w:tcPr>
          <w:p>
            <w:r>
              <w:t>Patrimoine</w:t>
            </w:r>
          </w:p>
        </w:tc>
        <w:tc>
          <w:tcPr>
            <w:tcW w:type="dxa" w:w="5040"/>
          </w:tcPr>
          <w:p>
            <w:r>
              <w:t>Accès volontaire, transparence, conseil, protections anti-surendettement, plafonds LTV.</w:t>
            </w:r>
          </w:p>
        </w:tc>
      </w:tr>
      <w:tr>
        <w:tc>
          <w:tcPr>
            <w:tcW w:type="dxa" w:w="5040"/>
          </w:tcPr>
          <w:p>
            <w:r>
              <w:t>Production</w:t>
            </w:r>
          </w:p>
        </w:tc>
        <w:tc>
          <w:tcPr>
            <w:tcW w:type="dxa" w:w="5040"/>
          </w:tcPr>
          <w:p>
            <w:r>
              <w:t>Capacité domestique accrue pour absorber la demande sans dérive des importations/prix.</w:t>
            </w:r>
          </w:p>
        </w:tc>
      </w:tr>
      <w:tr>
        <w:tc>
          <w:tcPr>
            <w:tcW w:type="dxa" w:w="5040"/>
          </w:tcPr>
          <w:p>
            <w:r>
              <w:t>Travail</w:t>
            </w:r>
          </w:p>
        </w:tc>
        <w:tc>
          <w:tcPr>
            <w:tcW w:type="dxa" w:w="5040"/>
          </w:tcPr>
          <w:p>
            <w:r>
              <w:t>Plein emploi, formation, mobilité et sécurité de revenu pour rendre soutenable la dette privée.</w:t>
            </w:r>
          </w:p>
        </w:tc>
      </w:tr>
      <w:tr>
        <w:tc>
          <w:tcPr>
            <w:tcW w:type="dxa" w:w="5040"/>
          </w:tcPr>
          <w:p>
            <w:r>
              <w:t>État</w:t>
            </w:r>
          </w:p>
        </w:tc>
        <w:tc>
          <w:tcPr>
            <w:tcW w:type="dxa" w:w="5040"/>
          </w:tcPr>
          <w:p>
            <w:r>
              <w:t>Règle de dépense, transparence annuelle et mécanisme correctif si le Pacte Spread disparaît.</w:t>
            </w:r>
          </w:p>
        </w:tc>
      </w:tr>
    </w:tbl>
    <w:p>
      <w:pPr>
        <w:pStyle w:val="Heading1"/>
      </w:pPr>
      <w:r>
        <w:t>6. Pourquoi l’intérêt seul ?</w:t>
      </w:r>
    </w:p>
    <w:p>
      <w:r>
        <w:t>L’intérêt seul réduit la charge mensuelle et transforme davantage de patrimoine illiquide en capacité de dépense ou d’investissement sans exiger une amortisation rapide. Mais il reporte le remboursement du principal : il doit donc être associé à un LTV prudent, une maturité longue, des règles de succession/vente explicites et des stress tests de taux, revenu et prix immobiliers. La France dispose déjà d’une culture de crédit habitat presque entièrement à taux fixe : 99,4 % de la production aux particuliers en juillet 2026 était à taux fixe.</w:t>
      </w:r>
    </w:p>
    <w:p>
      <w:pPr>
        <w:pStyle w:val="Heading1"/>
      </w:pPr>
      <w:r>
        <w:t>7. Les risques qui peuvent tuer la thèse</w:t>
      </w:r>
    </w:p>
    <w:p>
      <w:pPr>
        <w:pStyle w:val="ListBullet"/>
      </w:pPr>
      <w:r>
        <w:t>Inflation immobilière sans hausse suffisante de l’offre.</w:t>
      </w:r>
    </w:p>
    <w:p>
      <w:pPr>
        <w:pStyle w:val="ListBullet"/>
      </w:pPr>
      <w:r>
        <w:t>Fuite de la demande vers les importations, réduisant le multiplicateur domestique.</w:t>
      </w:r>
    </w:p>
    <w:p>
      <w:pPr>
        <w:pStyle w:val="ListBullet"/>
      </w:pPr>
      <w:r>
        <w:t>Substitution : crédit utilisé pour refinancer ou acheter des actifs plutôt que financer une demande additionnelle.</w:t>
      </w:r>
    </w:p>
    <w:p>
      <w:pPr>
        <w:pStyle w:val="ListBullet"/>
      </w:pPr>
      <w:r>
        <w:t>Inégalités patrimoniales : les non-propriétaires ne bénéficient pas directement du canal de crédit.</w:t>
      </w:r>
    </w:p>
    <w:p>
      <w:pPr>
        <w:pStyle w:val="ListBullet"/>
      </w:pPr>
      <w:r>
        <w:t>Risque bancaire et duration : besoin de financement long, gestion actif-passif et capital prudentiel.</w:t>
      </w:r>
    </w:p>
    <w:p>
      <w:pPr>
        <w:pStyle w:val="ListBullet"/>
      </w:pPr>
      <w:r>
        <w:t>Risque politique majeur : utiliser le stimulus privé sans tenir l’engagement de discipline publique.</w:t>
      </w:r>
    </w:p>
    <w:p>
      <w:pPr>
        <w:pStyle w:val="ListBullet"/>
      </w:pPr>
      <w:r>
        <w:t>Effet de falaise après 2035 si l’économie devient dépendante d’un flux de crédit croissant.</w:t>
      </w:r>
    </w:p>
    <w:p>
      <w:pPr>
        <w:pStyle w:val="Heading1"/>
      </w:pPr>
      <w:r>
        <w:t>8. Conditions de déclenchement et freins automatiques</w:t>
      </w:r>
    </w:p>
    <w:p>
      <w:r>
        <w:t>Le Pacte devrait être gouverné comme un programme macroprudentiel temporaire. Les volumes annuels ne seraient pas des droits acquis : ils seraient modulés selon inflation, prix immobiliers, croissance du crédit, déficit extérieur, capacité du bâtiment, chômage et trajectoire de dépense publique. Un dépassement des seuils déclencherait automatiquement un ralentissement des nouveaux prêts.</w:t>
      </w:r>
    </w:p>
    <w:p>
      <w:pPr>
        <w:pStyle w:val="Heading1"/>
      </w:pPr>
      <w:r>
        <w:t>9. Ce que le Pacte n’est pas</w:t>
      </w:r>
    </w:p>
    <w:p>
      <w:pPr>
        <w:pStyle w:val="ListBullet"/>
      </w:pPr>
      <w:r>
        <w:t>Ce n’est pas une taxe sur le patrimoine ni une réquisition de l’épargne.</w:t>
      </w:r>
    </w:p>
    <w:p>
      <w:pPr>
        <w:pStyle w:val="ListBullet"/>
      </w:pPr>
      <w:r>
        <w:t>Ce n’est pas une promesse que la hausse des prix immobiliers crée de la richesse réelle.</w:t>
      </w:r>
    </w:p>
    <w:p>
      <w:pPr>
        <w:pStyle w:val="ListBullet"/>
      </w:pPr>
      <w:r>
        <w:t>Ce n’est pas une relance keynésienne permanente.</w:t>
      </w:r>
    </w:p>
    <w:p>
      <w:pPr>
        <w:pStyle w:val="ListBullet"/>
      </w:pPr>
      <w:r>
        <w:t>Ce n’est pas une recommandation de crédit universelle : certains ménages ne doivent pas emprunter.</w:t>
      </w:r>
    </w:p>
    <w:p>
      <w:pPr>
        <w:pStyle w:val="ListBullet"/>
      </w:pPr>
      <w:r>
        <w:t>Ce n’est pas encore un programme prêt à légiférer : la proposition doit être stress-testée par économistes, banques, juristes et autorités prudentielles.</w:t>
      </w:r>
    </w:p>
    <w:p>
      <w:pPr>
        <w:pStyle w:val="Heading1"/>
      </w:pPr>
      <w:r>
        <w:t>10. Critère de succès en 2040</w:t>
      </w:r>
    </w:p>
    <w:p>
      <w:r>
        <w:t>Le test final est sévère : dette publique et déficit sur une trajectoire soutenable ; capacité productive plus élevée ; taux d’emploi supérieur ; ménages restant dans des LTV prudents ; et flux de nouveau crédit du Pacte revenu à zéro. Si la stabilité de 2040 exige une nouvelle accélération du crédit adossé au logement, le Pacte aura échoué.</w:t>
      </w:r>
    </w:p>
    <w:p>
      <w:pPr>
        <w:pStyle w:val="Heading1"/>
      </w:pPr>
      <w:r>
        <w:t>11. Agenda de recherche</w:t>
      </w:r>
    </w:p>
    <w:p>
      <w:pPr>
        <w:pStyle w:val="ListBullet"/>
      </w:pPr>
      <w:r>
        <w:t>Construire un modèle stock-flux cohérent avec dette publique, service de dette privée, consommation, épargne, importations et immobilier.</w:t>
      </w:r>
    </w:p>
    <w:p>
      <w:pPr>
        <w:pStyle w:val="ListBullet"/>
      </w:pPr>
      <w:r>
        <w:t>Estimer empiriquement la propension à consommer/investir les retraits d’équité par âge, revenu et patrimoine.</w:t>
      </w:r>
    </w:p>
    <w:p>
      <w:pPr>
        <w:pStyle w:val="ListBullet"/>
      </w:pPr>
      <w:r>
        <w:t>Tester la capacité de financement bancaire et le traitement CRR/CRD, HCSF, MCD et droit français des sûretés.</w:t>
      </w:r>
    </w:p>
    <w:p>
      <w:pPr>
        <w:pStyle w:val="ListBullet"/>
      </w:pPr>
      <w:r>
        <w:t>Simuler la distribution des gains/pertes par décile et statut propriétaire/locataire.</w:t>
      </w:r>
    </w:p>
    <w:p>
      <w:pPr>
        <w:pStyle w:val="ListBullet"/>
      </w:pPr>
      <w:r>
        <w:t>Définir une stratégie d’offre sectorielle cohérente avec la trajectoire de demande.</w:t>
      </w:r>
    </w:p>
    <w:p>
      <w:pPr>
        <w:pStyle w:val="ListBullet"/>
      </w:pPr>
      <w:r>
        <w:t>Construire des scénarios adverses : taux +200 pb, immobilier -20 %, chômage +3 pts, multiplicateur faible, importations élevées.</w:t>
      </w:r>
    </w:p>
    <w:p>
      <w:pPr>
        <w:pStyle w:val="Heading1"/>
      </w:pPr>
      <w:r>
        <w:t>Sources principales</w:t>
      </w:r>
    </w:p>
    <w:p>
      <w:pPr>
        <w:pStyle w:val="ListBullet"/>
      </w:pPr>
      <w:r>
        <w:rPr>
          <w:b/>
        </w:rPr>
        <w:t xml:space="preserve">INSEE — Comptes nationaux 2025 — </w:t>
      </w:r>
      <w:r>
        <w:t>PIB 2025 : 2 991,1 Md€ ; croissance réelle 0,8 %.</w:t>
        <w:br/>
        <w:t>https://www.insee.fr/fr/statistiques/8988793</w:t>
      </w:r>
    </w:p>
    <w:p>
      <w:pPr>
        <w:pStyle w:val="ListBullet"/>
      </w:pPr>
      <w:r>
        <w:rPr>
          <w:b/>
        </w:rPr>
        <w:t xml:space="preserve">INSEE — Finances publiques 2025 — </w:t>
      </w:r>
      <w:r>
        <w:t>Déficit public : 5,1 % du PIB ; dette publique : 115,6 % du PIB ; dépenses publiques : 57,2 % du PIB.</w:t>
        <w:br/>
        <w:t>https://www.insee.fr/fr/statistiques/8956575</w:t>
      </w:r>
    </w:p>
    <w:p>
      <w:pPr>
        <w:pStyle w:val="ListBullet"/>
      </w:pPr>
      <w:r>
        <w:rPr>
          <w:b/>
        </w:rPr>
        <w:t xml:space="preserve">INSEE / Banque de France — Patrimoine national 2024 — </w:t>
      </w:r>
      <w:r>
        <w:t>Patrimoine des ménages : 14 953 Md€ ; patrimoine financier net : 4 986 Md€.</w:t>
        <w:br/>
        <w:t>https://www.insee.fr/fr/statistiques/8661938</w:t>
      </w:r>
    </w:p>
    <w:p>
      <w:pPr>
        <w:pStyle w:val="ListBullet"/>
      </w:pPr>
      <w:r>
        <w:rPr>
          <w:b/>
        </w:rPr>
        <w:t xml:space="preserve">Banque de France — Crédits aux particuliers, juillet 2026 — </w:t>
      </w:r>
      <w:r>
        <w:t>Encours habitat des particuliers : 1 289 Md€ ; 99,4 % de la production à taux fixe.</w:t>
        <w:br/>
        <w:t>https://www.banque-france.fr/fr/statistiques/credit/credits-aux-particuliers-2026-07</w:t>
      </w:r>
    </w:p>
    <w:p>
      <w:pPr>
        <w:pStyle w:val="ListBullet"/>
      </w:pPr>
      <w:r>
        <w:rPr>
          <w:b/>
        </w:rPr>
        <w:t xml:space="preserve">INSEE — Détention de patrimoine 2024 — </w:t>
      </w:r>
      <w:r>
        <w:t>61,2 % des ménages détiennent du patrimoine immobilier ; 45,6 % ont un emprunt en cours.</w:t>
        <w:br/>
        <w:t>https://www.insee.fr/fr/statistiques/8569009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