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Pacte — Thèse</w:t>
      </w:r>
    </w:p>
    <w:p>
      <w:pPr>
        <w:jc w:val="left"/>
      </w:pPr>
      <w:r>
        <w:rPr>
          <w:i/>
          <w:color w:val="666666"/>
          <w:sz w:val="24"/>
        </w:rPr>
        <w:t>La logique intellectuelle en 12 propositions falsifiables</w:t>
      </w:r>
    </w:p>
    <w:p>
      <w:r>
        <w:rPr>
          <w:color w:val="666666"/>
          <w:sz w:val="18"/>
        </w:rPr>
        <w:t>France 2040 · Document de travail · 28 septembre 2026</w:t>
      </w:r>
    </w:p>
    <w:p/>
    <w:p>
      <w:pPr>
        <w:pStyle w:val="Heading2"/>
      </w:pPr>
      <w:r>
        <w:t>1. Un problème de bilan autant que de budget</w:t>
      </w:r>
    </w:p>
    <w:p>
      <w:r>
        <w:t>La France combine un bilan public très endetté et un bilan privé très riche. Cette asymétrie mérite d’être étudiée comme variable de politique macroéconomique.</w:t>
      </w:r>
    </w:p>
    <w:p>
      <w:pPr>
        <w:pStyle w:val="Heading2"/>
      </w:pPr>
      <w:r>
        <w:t>2. Le patrimoine immobilier est un stock, pas un revenu</w:t>
      </w:r>
    </w:p>
    <w:p>
      <w:r>
        <w:t>Il ne finance l’économie réelle que s’il peut être transformé volontairement en liquidité, sans levier excessif.</w:t>
      </w:r>
    </w:p>
    <w:p>
      <w:pPr>
        <w:pStyle w:val="Heading2"/>
      </w:pPr>
      <w:r>
        <w:t>3. Le crédit privé peut amortir une consolidation publique</w:t>
      </w:r>
    </w:p>
    <w:p>
      <w:r>
        <w:t>Pendant une fenêtre transitoire, une demande privée additionnelle peut réduire le coût macroéconomique d’une croissance plus lente de la dépense publique.</w:t>
      </w:r>
    </w:p>
    <w:p>
      <w:pPr>
        <w:pStyle w:val="Heading2"/>
      </w:pPr>
      <w:r>
        <w:t>4. Le programme doit être fini</w:t>
      </w:r>
    </w:p>
    <w:p>
      <w:r>
        <w:t>Le flux net est programmé pour revenir à zéro en 2040. Toute architecture exigeant une accélération perpétuelle est rejetée.</w:t>
      </w:r>
    </w:p>
    <w:p>
      <w:pPr>
        <w:pStyle w:val="Heading2"/>
      </w:pPr>
      <w:r>
        <w:t>5. Le taux fixe est une infrastructure de stabilité</w:t>
      </w:r>
    </w:p>
    <w:p>
      <w:r>
        <w:t>La France part d’un marché habitat où le taux fixe domine déjà ; le risque de taux doit rester largement hors du ménage.</w:t>
      </w:r>
    </w:p>
    <w:p>
      <w:pPr>
        <w:pStyle w:val="Heading2"/>
      </w:pPr>
      <w:r>
        <w:t>6. Le LTV est le garde-fou patrimonial</w:t>
      </w:r>
    </w:p>
    <w:p>
      <w:r>
        <w:t>Le levier doit être consolidé et plafonné, avec stress tests et règles de sortie.</w:t>
      </w:r>
    </w:p>
    <w:p>
      <w:pPr>
        <w:pStyle w:val="Heading2"/>
      </w:pPr>
      <w:r>
        <w:t>7. La demande n’est utile que si l’offre répond</w:t>
      </w:r>
    </w:p>
    <w:p>
      <w:r>
        <w:t>Sans expansion productive, le Pacte se transforme en inflation, importations ou hausse d’actifs.</w:t>
      </w:r>
    </w:p>
    <w:p>
      <w:pPr>
        <w:pStyle w:val="Heading2"/>
      </w:pPr>
      <w:r>
        <w:t>8. Le vrai contrat porte sur l’État</w:t>
      </w:r>
    </w:p>
    <w:p>
      <w:r>
        <w:t>Le stimulus privé n’a de sens que si la croissance nominale des dépenses publiques reste inférieure à celle du PIB nominal.</w:t>
      </w:r>
    </w:p>
    <w:p>
      <w:pPr>
        <w:pStyle w:val="Heading2"/>
      </w:pPr>
      <w:r>
        <w:t>9. Le Pacte Spread rend l’engagement observable</w:t>
      </w:r>
    </w:p>
    <w:p>
      <w:r>
        <w:t>PIB nominal moins dépense publique nominale : un indicateur simple, public et annuel.</w:t>
      </w:r>
    </w:p>
    <w:p>
      <w:pPr>
        <w:pStyle w:val="Heading2"/>
      </w:pPr>
      <w:r>
        <w:t>10. La distribution compte</w:t>
      </w:r>
    </w:p>
    <w:p>
      <w:r>
        <w:t>Un mécanisme fondé sur l’immobilier favorise mécaniquement les propriétaires ; le contrat social doit produire des bénéfices d’emploi, d’offre et de finances publiques pour l’ensemble de la population.</w:t>
      </w:r>
    </w:p>
    <w:p>
      <w:pPr>
        <w:pStyle w:val="Heading2"/>
      </w:pPr>
      <w:r>
        <w:t>11. Le risque bancaire doit être traité ex ante</w:t>
      </w:r>
    </w:p>
    <w:p>
      <w:r>
        <w:t>Funding long, capital, concentration immobilière et risque de duration sont des contraintes centrales, pas des détails d’exécution.</w:t>
      </w:r>
    </w:p>
    <w:p>
      <w:pPr>
        <w:pStyle w:val="Heading2"/>
      </w:pPr>
      <w:r>
        <w:t>12. La thèse doit pouvoir mourir</w:t>
      </w:r>
    </w:p>
    <w:p>
      <w:r>
        <w:t>Des seuils de réfutation doivent être définis avant le plaidoyer : multiplicateur trop faible, fuite importée trop forte, LTV dégradé, inflation immobilière, absence de discipline publique.</w:t>
      </w:r>
    </w:p>
    <w:p>
      <w:pPr>
        <w:pStyle w:val="Heading1"/>
      </w:pPr>
      <w:r>
        <w:t>North Star</w:t>
      </w:r>
    </w:p>
    <w:p>
      <w:r>
        <w:t>« La France mobilise une seule fois une fraction de son immense bilan privé pour créer une fenêtre de transition permettant de restaurer son bilan public et de transformer sa capacité productive avant 2040. »</w:t>
      </w:r>
    </w:p>
    <w:p>
      <w:pPr>
        <w:pStyle w:val="Heading1"/>
      </w:pPr>
      <w:r>
        <w:t>Sources principales</w:t>
      </w:r>
    </w:p>
    <w:p>
      <w:pPr>
        <w:pStyle w:val="ListBullet"/>
      </w:pPr>
      <w:r>
        <w:rPr>
          <w:b/>
        </w:rPr>
        <w:t xml:space="preserve">INSEE — Comptes nationaux 2025 — </w:t>
      </w:r>
      <w:r>
        <w:t>PIB 2025 : 2 991,1 Md€ ; croissance réelle 0,8 %.</w:t>
        <w:br/>
        <w:t>https://www.insee.fr/fr/statistiques/8988793</w:t>
      </w:r>
    </w:p>
    <w:p>
      <w:pPr>
        <w:pStyle w:val="ListBullet"/>
      </w:pPr>
      <w:r>
        <w:rPr>
          <w:b/>
        </w:rPr>
        <w:t xml:space="preserve">INSEE — Finances publiques 2025 — </w:t>
      </w:r>
      <w:r>
        <w:t>Déficit public : 5,1 % du PIB ; dette publique : 115,6 % du PIB ; dépenses publiques : 57,2 % du PIB.</w:t>
        <w:br/>
        <w:t>https://www.insee.fr/fr/statistiques/8956575</w:t>
      </w:r>
    </w:p>
    <w:p>
      <w:pPr>
        <w:pStyle w:val="ListBullet"/>
      </w:pPr>
      <w:r>
        <w:rPr>
          <w:b/>
        </w:rPr>
        <w:t xml:space="preserve">INSEE / Banque de France — Patrimoine national 2024 — </w:t>
      </w:r>
      <w:r>
        <w:t>Patrimoine des ménages : 14 953 Md€ ; patrimoine financier net : 4 986 Md€.</w:t>
        <w:br/>
        <w:t>https://www.insee.fr/fr/statistiques/8661938</w:t>
      </w:r>
    </w:p>
    <w:p>
      <w:pPr>
        <w:pStyle w:val="ListBullet"/>
      </w:pPr>
      <w:r>
        <w:rPr>
          <w:b/>
        </w:rPr>
        <w:t xml:space="preserve">Banque de France — Crédits aux particuliers, juillet 2026 — </w:t>
      </w:r>
      <w:r>
        <w:t>Encours habitat des particuliers : 1 289 Md€ ; 99,4 % de la production à taux fixe.</w:t>
        <w:br/>
        <w:t>https://www.banque-france.fr/fr/statistiques/credit/credits-aux-particuliers-2026-07</w:t>
      </w:r>
    </w:p>
    <w:p>
      <w:pPr>
        <w:pStyle w:val="ListBullet"/>
      </w:pPr>
      <w:r>
        <w:rPr>
          <w:b/>
        </w:rPr>
        <w:t xml:space="preserve">INSEE — Détention de patrimoine 2024 — </w:t>
      </w:r>
      <w:r>
        <w:t>61,2 % des ménages détiennent du patrimoine immobilier ; 45,6 % ont un emprunt en cours.</w:t>
        <w:br/>
        <w:t>https://www.insee.fr/fr/statistiques/8569009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