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Pacte — DFMA</w:t>
      </w:r>
    </w:p>
    <w:p>
      <w:pPr>
        <w:jc w:val="left"/>
      </w:pPr>
      <w:r>
        <w:rPr>
          <w:i/>
          <w:color w:val="666666"/>
          <w:sz w:val="24"/>
        </w:rPr>
        <w:t>Design du dispositif de financement et de mobilisation des actifs</w:t>
      </w:r>
    </w:p>
    <w:p>
      <w:r>
        <w:rPr>
          <w:color w:val="666666"/>
          <w:sz w:val="18"/>
        </w:rPr>
        <w:t>France 2040 · Document de travail · 28 septembre 2026</w:t>
      </w:r>
    </w:p>
    <w:p/>
    <w:p>
      <w:pPr>
        <w:pStyle w:val="Heading1"/>
      </w:pPr>
      <w:r>
        <w:t>Objet</w:t>
      </w:r>
    </w:p>
    <w:p>
      <w:r>
        <w:t>DFMA est le nom de travail du mécanisme financier. Il ne s’agit pas d’un produit final ni d’un acronyme institutionnel arrêté. Le document décrit les paramètres à tester.</w:t>
      </w:r>
    </w:p>
    <w:p>
      <w:pPr>
        <w:pStyle w:val="Heading1"/>
      </w:pPr>
      <w:r>
        <w:t>Architecture de référence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Paramètre</w:t>
            </w:r>
          </w:p>
        </w:tc>
        <w:tc>
          <w:tcPr>
            <w:tcW w:type="dxa" w:w="5040"/>
          </w:tcPr>
          <w:p>
            <w:r>
              <w:t>Hypothèse de recherche</w:t>
            </w:r>
          </w:p>
        </w:tc>
      </w:tr>
      <w:tr>
        <w:tc>
          <w:tcPr>
            <w:tcW w:type="dxa" w:w="5040"/>
          </w:tcPr>
          <w:p>
            <w:r>
              <w:t>Sous-jacent</w:t>
            </w:r>
          </w:p>
        </w:tc>
        <w:tc>
          <w:tcPr>
            <w:tcW w:type="dxa" w:w="5040"/>
          </w:tcPr>
          <w:p>
            <w:r>
              <w:t>Résidence principale / immobilier résidentiel éligible</w:t>
            </w:r>
          </w:p>
        </w:tc>
      </w:tr>
      <w:tr>
        <w:tc>
          <w:tcPr>
            <w:tcW w:type="dxa" w:w="5040"/>
          </w:tcPr>
          <w:p>
            <w:r>
              <w:t>Type</w:t>
            </w:r>
          </w:p>
        </w:tc>
        <w:tc>
          <w:tcPr>
            <w:tcW w:type="dxa" w:w="5040"/>
          </w:tcPr>
          <w:p>
            <w:r>
              <w:t>Prêt long, principalement interest-only</w:t>
            </w:r>
          </w:p>
        </w:tc>
      </w:tr>
      <w:tr>
        <w:tc>
          <w:tcPr>
            <w:tcW w:type="dxa" w:w="5040"/>
          </w:tcPr>
          <w:p>
            <w:r>
              <w:t>Taux</w:t>
            </w:r>
          </w:p>
        </w:tc>
        <w:tc>
          <w:tcPr>
            <w:tcW w:type="dxa" w:w="5040"/>
          </w:tcPr>
          <w:p>
            <w:r>
              <w:t>Fixe ou fixation longue ; protection du ménage contre le reset court</w:t>
            </w:r>
          </w:p>
        </w:tc>
      </w:tr>
      <w:tr>
        <w:tc>
          <w:tcPr>
            <w:tcW w:type="dxa" w:w="5040"/>
          </w:tcPr>
          <w:p>
            <w:r>
              <w:t>LTV consolidé</w:t>
            </w:r>
          </w:p>
        </w:tc>
        <w:tc>
          <w:tcPr>
            <w:tcW w:type="dxa" w:w="5040"/>
          </w:tcPr>
          <w:p>
            <w:r>
              <w:t>40–50 % cible maximale, incluant dette existante</w:t>
            </w:r>
          </w:p>
        </w:tc>
      </w:tr>
      <w:tr>
        <w:tc>
          <w:tcPr>
            <w:tcW w:type="dxa" w:w="5040"/>
          </w:tcPr>
          <w:p>
            <w:r>
              <w:t>Usage des fonds</w:t>
            </w:r>
          </w:p>
        </w:tc>
        <w:tc>
          <w:tcPr>
            <w:tcW w:type="dxa" w:w="5040"/>
          </w:tcPr>
          <w:p>
            <w:r>
              <w:t>Libre dans une enveloppe définie, avec données permettant d’étudier consommation/investissement/refinancement</w:t>
            </w:r>
          </w:p>
        </w:tc>
      </w:tr>
      <w:tr>
        <w:tc>
          <w:tcPr>
            <w:tcW w:type="dxa" w:w="5040"/>
          </w:tcPr>
          <w:p>
            <w:r>
              <w:t>Maturité</w:t>
            </w:r>
          </w:p>
        </w:tc>
        <w:tc>
          <w:tcPr>
            <w:tcW w:type="dxa" w:w="5040"/>
          </w:tcPr>
          <w:p>
            <w:r>
              <w:t>Longue ; remboursement du principal à échéance, vente, succession ou refinancement encadré</w:t>
            </w:r>
          </w:p>
        </w:tc>
      </w:tr>
      <w:tr>
        <w:tc>
          <w:tcPr>
            <w:tcW w:type="dxa" w:w="5040"/>
          </w:tcPr>
          <w:p>
            <w:r>
              <w:t>Volume macro</w:t>
            </w:r>
          </w:p>
        </w:tc>
        <w:tc>
          <w:tcPr>
            <w:tcW w:type="dxa" w:w="5040"/>
          </w:tcPr>
          <w:p>
            <w:r>
              <w:t>700 Md€ net cumulé 2027–2040 dans le scénario central</w:t>
            </w:r>
          </w:p>
        </w:tc>
      </w:tr>
      <w:tr>
        <w:tc>
          <w:tcPr>
            <w:tcW w:type="dxa" w:w="5040"/>
          </w:tcPr>
          <w:p>
            <w:r>
              <w:t>Extinction</w:t>
            </w:r>
          </w:p>
        </w:tc>
        <w:tc>
          <w:tcPr>
            <w:tcW w:type="dxa" w:w="5040"/>
          </w:tcPr>
          <w:p>
            <w:r>
              <w:t>Nouveaux flux ramenés à 0 en 2040</w:t>
            </w:r>
          </w:p>
        </w:tc>
      </w:tr>
    </w:tbl>
    <w:p>
      <w:pPr>
        <w:pStyle w:val="Heading1"/>
      </w:pPr>
      <w:r>
        <w:t>Protections ménage</w:t>
      </w:r>
    </w:p>
    <w:p>
      <w:pPr>
        <w:pStyle w:val="ListBullet"/>
      </w:pPr>
      <w:r>
        <w:t>Test de capacité à payer les intérêts sur revenu courant et scénario stressé.</w:t>
      </w:r>
    </w:p>
    <w:p>
      <w:pPr>
        <w:pStyle w:val="ListBullet"/>
      </w:pPr>
      <w:r>
        <w:t>Information standardisée sur le principal restant dû et le coût total.</w:t>
      </w:r>
    </w:p>
    <w:p>
      <w:pPr>
        <w:pStyle w:val="ListBullet"/>
      </w:pPr>
      <w:r>
        <w:t>Pas de capitalisation automatique des intérêts dans le scénario de base.</w:t>
      </w:r>
    </w:p>
    <w:p>
      <w:pPr>
        <w:pStyle w:val="ListBullet"/>
      </w:pPr>
      <w:r>
        <w:t>Protection spécifique des ménages âgés/vulnérables et conseil indépendant à définir.</w:t>
      </w:r>
    </w:p>
    <w:p>
      <w:pPr>
        <w:pStyle w:val="ListBullet"/>
      </w:pPr>
      <w:r>
        <w:t>Droit clair au remboursement anticipé et règles transparentes en cas de vente/succession.</w:t>
      </w:r>
    </w:p>
    <w:p>
      <w:pPr>
        <w:pStyle w:val="Heading1"/>
      </w:pPr>
      <w:r>
        <w:t>Questions bancaires et prudentielles</w:t>
      </w:r>
    </w:p>
    <w:p>
      <w:pPr>
        <w:pStyle w:val="ListBullet"/>
      </w:pPr>
      <w:r>
        <w:t>Qui porte le risque de taux et comment est-il couvert ?</w:t>
      </w:r>
    </w:p>
    <w:p>
      <w:pPr>
        <w:pStyle w:val="ListBullet"/>
      </w:pPr>
      <w:r>
        <w:t>Quel funding long : dépôts, obligations sécurisées, titrisation, refinancement ?</w:t>
      </w:r>
    </w:p>
    <w:p>
      <w:pPr>
        <w:pStyle w:val="ListBullet"/>
      </w:pPr>
      <w:r>
        <w:t>Quel traitement prudentiel d’un interest-only à faible LTV ?</w:t>
      </w:r>
    </w:p>
    <w:p>
      <w:pPr>
        <w:pStyle w:val="ListBullet"/>
      </w:pPr>
      <w:r>
        <w:t>Comment éviter la concentration excessive des bilans bancaires sur l’immobilier ?</w:t>
      </w:r>
    </w:p>
    <w:p>
      <w:pPr>
        <w:pStyle w:val="ListBullet"/>
      </w:pPr>
      <w:r>
        <w:t>Quel rôle pour HCSF, ACPR, Banque de France et BCE dans les limites macroprudentielles ?</w:t>
      </w:r>
    </w:p>
    <w:p>
      <w:pPr>
        <w:pStyle w:val="Heading1"/>
      </w:pPr>
      <w:r>
        <w:t>Freins macro automatiques</w:t>
      </w:r>
    </w:p>
    <w:p>
      <w:pPr>
        <w:pStyle w:val="ListBullet"/>
      </w:pPr>
      <w:r>
        <w:t>Réduire les nouveaux quotas si prix immobiliers, inflation ou déficit extérieur dépassent les corridors.</w:t>
      </w:r>
    </w:p>
    <w:p>
      <w:pPr>
        <w:pStyle w:val="ListBullet"/>
      </w:pPr>
      <w:r>
        <w:t>Suspendre l’accélération si la dépense publique viole durablement la règle du Pacte.</w:t>
      </w:r>
    </w:p>
    <w:p>
      <w:pPr>
        <w:pStyle w:val="ListBullet"/>
      </w:pPr>
      <w:r>
        <w:t>Réduire le flux si les indicateurs de capacité d’offre montrent une saturation.</w:t>
      </w:r>
    </w:p>
    <w:p>
      <w:pPr>
        <w:pStyle w:val="ListBullet"/>
      </w:pPr>
      <w:r>
        <w:t>Publier chaque année volumes, LTV, défauts, usages des fonds et distribution par âge/revenu.</w:t>
      </w:r>
    </w:p>
    <w:p>
      <w:pPr>
        <w:pStyle w:val="Heading1"/>
      </w:pPr>
      <w:r>
        <w:t>Sources principales</w:t>
      </w:r>
    </w:p>
    <w:p>
      <w:pPr>
        <w:pStyle w:val="ListBullet"/>
      </w:pPr>
      <w:r>
        <w:rPr>
          <w:b/>
        </w:rPr>
        <w:t xml:space="preserve">Banque de France — Crédits aux particuliers, juillet 2026 — </w:t>
      </w:r>
      <w:r>
        <w:t>Encours habitat des particuliers : 1 289 Md€ ; 99,4 % de la production à taux fixe.</w:t>
        <w:br/>
        <w:t>https://www.banque-france.fr/fr/statistiques/credit/credits-aux-particuliers-2026-07</w:t>
      </w:r>
    </w:p>
    <w:p>
      <w:pPr>
        <w:pStyle w:val="ListBullet"/>
      </w:pPr>
      <w:r>
        <w:rPr>
          <w:b/>
        </w:rPr>
        <w:t xml:space="preserve">INSEE — Détention de patrimoine 2024 — </w:t>
      </w:r>
      <w:r>
        <w:t>61,2 % des ménages détiennent du patrimoine immobilier ; 45,6 % ont un emprunt en cours.</w:t>
        <w:br/>
        <w:t>https://www.insee.fr/fr/statistiques/8569009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