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Pacte — Evidence Book</w:t>
      </w:r>
    </w:p>
    <w:p>
      <w:pPr>
        <w:jc w:val="left"/>
      </w:pPr>
      <w:r>
        <w:rPr>
          <w:i/>
          <w:color w:val="666666"/>
          <w:sz w:val="24"/>
        </w:rPr>
        <w:t>Ce que nous savons, ce que nous supposons, ce qu’il faut encore démontrer</w:t>
      </w:r>
    </w:p>
    <w:p>
      <w:r>
        <w:rPr>
          <w:color w:val="666666"/>
          <w:sz w:val="18"/>
        </w:rPr>
        <w:t>France 2040 · Document de travail · 28 septembre 2026</w:t>
      </w:r>
    </w:p>
    <w:p/>
    <w:p>
      <w:pPr>
        <w:pStyle w:val="Heading1"/>
      </w:pPr>
      <w:r>
        <w:t>Faits français établis</w:t>
      </w:r>
    </w:p>
    <w:tbl>
      <w:tblPr>
        <w:tblStyle w:val="LightShading-Accent1"/>
        <w:tblW w:type="auto" w:w="0"/>
        <w:tblLook w:firstColumn="1" w:firstRow="1" w:lastColumn="0" w:lastRow="0" w:noHBand="0" w:noVBand="1" w:val="04A0"/>
      </w:tblPr>
      <w:tblGrid>
        <w:gridCol w:w="5040"/>
        <w:gridCol w:w="5040"/>
      </w:tblGrid>
      <w:tr>
        <w:tc>
          <w:tcPr>
            <w:tcW w:type="dxa" w:w="5040"/>
          </w:tcPr>
          <w:p>
            <w:r>
              <w:t>Fait</w:t>
            </w:r>
          </w:p>
        </w:tc>
        <w:tc>
          <w:tcPr>
            <w:tcW w:type="dxa" w:w="5040"/>
          </w:tcPr>
          <w:p>
            <w:r>
              <w:t>Valeur / lecture</w:t>
            </w:r>
          </w:p>
        </w:tc>
      </w:tr>
      <w:tr>
        <w:tc>
          <w:tcPr>
            <w:tcW w:type="dxa" w:w="5040"/>
          </w:tcPr>
          <w:p>
            <w:r>
              <w:t>PIB 2025</w:t>
            </w:r>
          </w:p>
        </w:tc>
        <w:tc>
          <w:tcPr>
            <w:tcW w:type="dxa" w:w="5040"/>
          </w:tcPr>
          <w:p>
            <w:r>
              <w:t>2 991,1 Md€</w:t>
            </w:r>
          </w:p>
        </w:tc>
      </w:tr>
      <w:tr>
        <w:tc>
          <w:tcPr>
            <w:tcW w:type="dxa" w:w="5040"/>
          </w:tcPr>
          <w:p>
            <w:r>
              <w:t>Dette publique fin 2025</w:t>
            </w:r>
          </w:p>
        </w:tc>
        <w:tc>
          <w:tcPr>
            <w:tcW w:type="dxa" w:w="5040"/>
          </w:tcPr>
          <w:p>
            <w:r>
              <w:t>115,6 % du PIB</w:t>
            </w:r>
          </w:p>
        </w:tc>
      </w:tr>
      <w:tr>
        <w:tc>
          <w:tcPr>
            <w:tcW w:type="dxa" w:w="5040"/>
          </w:tcPr>
          <w:p>
            <w:r>
              <w:t>Déficit public 2025</w:t>
            </w:r>
          </w:p>
        </w:tc>
        <w:tc>
          <w:tcPr>
            <w:tcW w:type="dxa" w:w="5040"/>
          </w:tcPr>
          <w:p>
            <w:r>
              <w:t>5,1 % du PIB</w:t>
            </w:r>
          </w:p>
        </w:tc>
      </w:tr>
      <w:tr>
        <w:tc>
          <w:tcPr>
            <w:tcW w:type="dxa" w:w="5040"/>
          </w:tcPr>
          <w:p>
            <w:r>
              <w:t>Dépenses publiques 2025</w:t>
            </w:r>
          </w:p>
        </w:tc>
        <w:tc>
          <w:tcPr>
            <w:tcW w:type="dxa" w:w="5040"/>
          </w:tcPr>
          <w:p>
            <w:r>
              <w:t>57,2 % du PIB</w:t>
            </w:r>
          </w:p>
        </w:tc>
      </w:tr>
      <w:tr>
        <w:tc>
          <w:tcPr>
            <w:tcW w:type="dxa" w:w="5040"/>
          </w:tcPr>
          <w:p>
            <w:r>
              <w:t>Patrimoine ménages fin 2024</w:t>
            </w:r>
          </w:p>
        </w:tc>
        <w:tc>
          <w:tcPr>
            <w:tcW w:type="dxa" w:w="5040"/>
          </w:tcPr>
          <w:p>
            <w:r>
              <w:t>14 953 Md€</w:t>
            </w:r>
          </w:p>
        </w:tc>
      </w:tr>
      <w:tr>
        <w:tc>
          <w:tcPr>
            <w:tcW w:type="dxa" w:w="5040"/>
          </w:tcPr>
          <w:p>
            <w:r>
              <w:t>Patrimoine financier net ménages</w:t>
            </w:r>
          </w:p>
        </w:tc>
        <w:tc>
          <w:tcPr>
            <w:tcW w:type="dxa" w:w="5040"/>
          </w:tcPr>
          <w:p>
            <w:r>
              <w:t>4 986 Md€</w:t>
            </w:r>
          </w:p>
        </w:tc>
      </w:tr>
      <w:tr>
        <w:tc>
          <w:tcPr>
            <w:tcW w:type="dxa" w:w="5040"/>
          </w:tcPr>
          <w:p>
            <w:r>
              <w:t>Détention patrimoine immobilier</w:t>
            </w:r>
          </w:p>
        </w:tc>
        <w:tc>
          <w:tcPr>
            <w:tcW w:type="dxa" w:w="5040"/>
          </w:tcPr>
          <w:p>
            <w:r>
              <w:t>61,2 % des ménages</w:t>
            </w:r>
          </w:p>
        </w:tc>
      </w:tr>
      <w:tr>
        <w:tc>
          <w:tcPr>
            <w:tcW w:type="dxa" w:w="5040"/>
          </w:tcPr>
          <w:p>
            <w:r>
              <w:t>Encours habitat particuliers, juil. 2026</w:t>
            </w:r>
          </w:p>
        </w:tc>
        <w:tc>
          <w:tcPr>
            <w:tcW w:type="dxa" w:w="5040"/>
          </w:tcPr>
          <w:p>
            <w:r>
              <w:t>1 289 Md€</w:t>
            </w:r>
          </w:p>
        </w:tc>
      </w:tr>
      <w:tr>
        <w:tc>
          <w:tcPr>
            <w:tcW w:type="dxa" w:w="5040"/>
          </w:tcPr>
          <w:p>
            <w:r>
              <w:t>Part taux fixe, production habitat juil. 2026</w:t>
            </w:r>
          </w:p>
        </w:tc>
        <w:tc>
          <w:tcPr>
            <w:tcW w:type="dxa" w:w="5040"/>
          </w:tcPr>
          <w:p>
            <w:r>
              <w:t>99,4 %</w:t>
            </w:r>
          </w:p>
        </w:tc>
      </w:tr>
    </w:tbl>
    <w:p>
      <w:pPr>
        <w:pStyle w:val="Heading1"/>
      </w:pPr>
      <w:r>
        <w:t>Hypothèses — à ne pas présenter comme des faits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Hypothèse</w:t>
            </w:r>
          </w:p>
        </w:tc>
        <w:tc>
          <w:tcPr>
            <w:tcW w:type="dxa" w:w="3360"/>
          </w:tcPr>
          <w:p>
            <w:r>
              <w:t>Central</w:t>
            </w:r>
          </w:p>
        </w:tc>
        <w:tc>
          <w:tcPr>
            <w:tcW w:type="dxa" w:w="3360"/>
          </w:tcPr>
          <w:p>
            <w:r>
              <w:t>À tester</w:t>
            </w:r>
          </w:p>
        </w:tc>
      </w:tr>
      <w:tr>
        <w:tc>
          <w:tcPr>
            <w:tcW w:type="dxa" w:w="3360"/>
          </w:tcPr>
          <w:p>
            <w:r>
              <w:t>Croissance réelle sous-jacente</w:t>
            </w:r>
          </w:p>
        </w:tc>
        <w:tc>
          <w:tcPr>
            <w:tcW w:type="dxa" w:w="3360"/>
          </w:tcPr>
          <w:p>
            <w:r>
              <w:t>1,0 %</w:t>
            </w:r>
          </w:p>
        </w:tc>
        <w:tc>
          <w:tcPr>
            <w:tcW w:type="dxa" w:w="3360"/>
          </w:tcPr>
          <w:p>
            <w:r>
              <w:t>0–2 %</w:t>
            </w:r>
          </w:p>
        </w:tc>
      </w:tr>
      <w:tr>
        <w:tc>
          <w:tcPr>
            <w:tcW w:type="dxa" w:w="3360"/>
          </w:tcPr>
          <w:p>
            <w:r>
              <w:t>Déflateur PIB</w:t>
            </w:r>
          </w:p>
        </w:tc>
        <w:tc>
          <w:tcPr>
            <w:tcW w:type="dxa" w:w="3360"/>
          </w:tcPr>
          <w:p>
            <w:r>
              <w:t>2,5 %</w:t>
            </w:r>
          </w:p>
        </w:tc>
        <w:tc>
          <w:tcPr>
            <w:tcW w:type="dxa" w:w="3360"/>
          </w:tcPr>
          <w:p>
            <w:r>
              <w:t>1,5–4 %</w:t>
            </w:r>
          </w:p>
        </w:tc>
      </w:tr>
      <w:tr>
        <w:tc>
          <w:tcPr>
            <w:tcW w:type="dxa" w:w="3360"/>
          </w:tcPr>
          <w:p>
            <w:r>
              <w:t>Dépense publique nominale</w:t>
            </w:r>
          </w:p>
        </w:tc>
        <w:tc>
          <w:tcPr>
            <w:tcW w:type="dxa" w:w="3360"/>
          </w:tcPr>
          <w:p>
            <w:r>
              <w:t>+2,0 %/an</w:t>
            </w:r>
          </w:p>
        </w:tc>
        <w:tc>
          <w:tcPr>
            <w:tcW w:type="dxa" w:w="3360"/>
          </w:tcPr>
          <w:p>
            <w:r>
              <w:t>1–3 %</w:t>
            </w:r>
          </w:p>
        </w:tc>
      </w:tr>
      <w:tr>
        <w:tc>
          <w:tcPr>
            <w:tcW w:type="dxa" w:w="3360"/>
          </w:tcPr>
          <w:p>
            <w:r>
              <w:t>Crédit net cumulé</w:t>
            </w:r>
          </w:p>
        </w:tc>
        <w:tc>
          <w:tcPr>
            <w:tcW w:type="dxa" w:w="3360"/>
          </w:tcPr>
          <w:p>
            <w:r>
              <w:t>700 Md€</w:t>
            </w:r>
          </w:p>
        </w:tc>
        <w:tc>
          <w:tcPr>
            <w:tcW w:type="dxa" w:w="3360"/>
          </w:tcPr>
          <w:p>
            <w:r>
              <w:t>400–900 Md€</w:t>
            </w:r>
          </w:p>
        </w:tc>
      </w:tr>
      <w:tr>
        <w:tc>
          <w:tcPr>
            <w:tcW w:type="dxa" w:w="3360"/>
          </w:tcPr>
          <w:p>
            <w:r>
              <w:t>LTV consolidé max</w:t>
            </w:r>
          </w:p>
        </w:tc>
        <w:tc>
          <w:tcPr>
            <w:tcW w:type="dxa" w:w="3360"/>
          </w:tcPr>
          <w:p>
            <w:r>
              <w:t>40–50 %</w:t>
            </w:r>
          </w:p>
        </w:tc>
        <w:tc>
          <w:tcPr>
            <w:tcW w:type="dxa" w:w="3360"/>
          </w:tcPr>
          <w:p>
            <w:r>
              <w:t>stress 50–60 %</w:t>
            </w:r>
          </w:p>
        </w:tc>
      </w:tr>
      <w:tr>
        <w:tc>
          <w:tcPr>
            <w:tcW w:type="dxa" w:w="3360"/>
          </w:tcPr>
          <w:p>
            <w:r>
              <w:t>Prix immobilier</w:t>
            </w:r>
          </w:p>
        </w:tc>
        <w:tc>
          <w:tcPr>
            <w:tcW w:type="dxa" w:w="3360"/>
          </w:tcPr>
          <w:p>
            <w:r>
              <w:t>+3/+5/+6 % tests</w:t>
            </w:r>
          </w:p>
        </w:tc>
        <w:tc>
          <w:tcPr>
            <w:tcW w:type="dxa" w:w="3360"/>
          </w:tcPr>
          <w:p>
            <w:r>
              <w:t>inclure -20 % choc</w:t>
            </w:r>
          </w:p>
        </w:tc>
      </w:tr>
      <w:tr>
        <w:tc>
          <w:tcPr>
            <w:tcW w:type="dxa" w:w="3360"/>
          </w:tcPr>
          <w:p>
            <w:r>
              <w:t>Multiplicateur crédit→PIB</w:t>
            </w:r>
          </w:p>
        </w:tc>
        <w:tc>
          <w:tcPr>
            <w:tcW w:type="dxa" w:w="3360"/>
          </w:tcPr>
          <w:p>
            <w:r>
              <w:t>variable modèle</w:t>
            </w:r>
          </w:p>
        </w:tc>
        <w:tc>
          <w:tcPr>
            <w:tcW w:type="dxa" w:w="3360"/>
          </w:tcPr>
          <w:p>
            <w:r>
              <w:t>à estimer empiriquement</w:t>
            </w:r>
          </w:p>
        </w:tc>
      </w:tr>
    </w:tbl>
    <w:p>
      <w:pPr>
        <w:pStyle w:val="Heading1"/>
      </w:pPr>
      <w:r>
        <w:t>Comparaisons internationales à documenter</w:t>
      </w:r>
    </w:p>
    <w:p>
      <w:r>
        <w:t>Les Pays-Bas, le Danemark et la Suisse sont utiles non comme modèles à copier mais comme laboratoires de structure hypothécaire : intérêt seul, financement obligataire, faible amortissement ou gestion macroprudentielle. Le Royaume-Uni et les États-Unis sont utiles pour l’historique de mortgage equity withdrawal. La prochaine version de l’Evidence Book doit privilégier banques centrales, régulateurs et articles académiques et documenter les différences institutionnelles qui empêchent les transpositions naïves.</w:t>
      </w:r>
    </w:p>
    <w:p>
      <w:pPr>
        <w:pStyle w:val="Heading1"/>
      </w:pPr>
      <w:r>
        <w:t>Tests empiriques prioritaires</w:t>
      </w:r>
    </w:p>
    <w:p>
      <w:pPr>
        <w:pStyle w:val="ListBullet"/>
      </w:pPr>
      <w:r>
        <w:t>Propension marginale à consommer après extraction d’équité, par âge et revenu.</w:t>
      </w:r>
    </w:p>
    <w:p>
      <w:pPr>
        <w:pStyle w:val="ListBullet"/>
      </w:pPr>
      <w:r>
        <w:t>Part domestique de la dépense additionnelle et contenu importé.</w:t>
      </w:r>
    </w:p>
    <w:p>
      <w:pPr>
        <w:pStyle w:val="ListBullet"/>
      </w:pPr>
      <w:r>
        <w:t>Effet sur prix immobiliers lorsque l’offre de logement est contrainte.</w:t>
      </w:r>
    </w:p>
    <w:p>
      <w:pPr>
        <w:pStyle w:val="ListBullet"/>
      </w:pPr>
      <w:r>
        <w:t>Sensibilité du défaut au ratio service de dette/revenu pour interest-only à faible LTV.</w:t>
      </w:r>
    </w:p>
    <w:p>
      <w:pPr>
        <w:pStyle w:val="ListBullet"/>
      </w:pPr>
      <w:r>
        <w:t>Capacité du marché français des covered bonds à financer des maturités longues supplémentaires.</w:t>
      </w:r>
    </w:p>
    <w:p>
      <w:pPr>
        <w:pStyle w:val="ListBullet"/>
      </w:pPr>
      <w:r>
        <w:t>Distribution patrimoniale : qui peut emprunter, combien, et qui reste exclu ?</w:t>
      </w:r>
    </w:p>
    <w:p>
      <w:pPr>
        <w:pStyle w:val="Heading1"/>
      </w:pPr>
      <w:r>
        <w:t>Sources principales</w:t>
      </w:r>
    </w:p>
    <w:p>
      <w:pPr>
        <w:pStyle w:val="ListBullet"/>
      </w:pPr>
      <w:r>
        <w:rPr>
          <w:b/>
        </w:rPr>
        <w:t xml:space="preserve">INSEE — Comptes nationaux 2025 — </w:t>
      </w:r>
      <w:r>
        <w:t>PIB 2025 : 2 991,1 Md€ ; croissance réelle 0,8 %.</w:t>
        <w:br/>
        <w:t>https://www.insee.fr/fr/statistiques/8988793</w:t>
      </w:r>
    </w:p>
    <w:p>
      <w:pPr>
        <w:pStyle w:val="ListBullet"/>
      </w:pPr>
      <w:r>
        <w:rPr>
          <w:b/>
        </w:rPr>
        <w:t xml:space="preserve">INSEE — Finances publiques 2025 — </w:t>
      </w:r>
      <w:r>
        <w:t>Déficit public : 5,1 % du PIB ; dette publique : 115,6 % du PIB ; dépenses publiques : 57,2 % du PIB.</w:t>
        <w:br/>
        <w:t>https://www.insee.fr/fr/statistiques/8956575</w:t>
      </w:r>
    </w:p>
    <w:p>
      <w:pPr>
        <w:pStyle w:val="ListBullet"/>
      </w:pPr>
      <w:r>
        <w:rPr>
          <w:b/>
        </w:rPr>
        <w:t xml:space="preserve">INSEE / Banque de France — Patrimoine national 2024 — </w:t>
      </w:r>
      <w:r>
        <w:t>Patrimoine des ménages : 14 953 Md€ ; patrimoine financier net : 4 986 Md€.</w:t>
        <w:br/>
        <w:t>https://www.insee.fr/fr/statistiques/8661938</w:t>
      </w:r>
    </w:p>
    <w:p>
      <w:pPr>
        <w:pStyle w:val="ListBullet"/>
      </w:pPr>
      <w:r>
        <w:rPr>
          <w:b/>
        </w:rPr>
        <w:t xml:space="preserve">Banque de France — Crédits aux particuliers, juillet 2026 — </w:t>
      </w:r>
      <w:r>
        <w:t>Encours habitat des particuliers : 1 289 Md€ ; 99,4 % de la production à taux fixe.</w:t>
        <w:br/>
        <w:t>https://www.banque-france.fr/fr/statistiques/credit/credits-aux-particuliers-2026-07</w:t>
      </w:r>
    </w:p>
    <w:p>
      <w:pPr>
        <w:pStyle w:val="ListBullet"/>
      </w:pPr>
      <w:r>
        <w:rPr>
          <w:b/>
        </w:rPr>
        <w:t xml:space="preserve">INSEE — Détention de patrimoine 2024 — </w:t>
      </w:r>
      <w:r>
        <w:t>61,2 % des ménages détiennent du patrimoine immobilier ; 45,6 % ont un emprunt en cours.</w:t>
        <w:br/>
        <w:t>https://www.insee.fr/fr/statistiques/8569009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