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Pacte — Contrat social</w:t>
      </w:r>
    </w:p>
    <w:p>
      <w:pPr>
        <w:jc w:val="left"/>
      </w:pPr>
      <w:r>
        <w:rPr>
          <w:i/>
          <w:color w:val="666666"/>
          <w:sz w:val="24"/>
        </w:rPr>
        <w:t>Les quatre engagements qui rendent le mécanisme politiquement et économiquement cohérent</w:t>
      </w:r>
    </w:p>
    <w:p>
      <w:r>
        <w:rPr>
          <w:color w:val="666666"/>
          <w:sz w:val="18"/>
        </w:rPr>
        <w:t>France 2040 · Document de travail · 28 septembre 2026</w:t>
      </w:r>
    </w:p>
    <w:p/>
    <w:p>
      <w:pPr>
        <w:pStyle w:val="Heading1"/>
      </w:pPr>
      <w:r>
        <w:t>I. Engagement patrimonial</w:t>
      </w:r>
    </w:p>
    <w:p>
      <w:pPr>
        <w:pStyle w:val="ListBullet"/>
      </w:pPr>
      <w:r>
        <w:t>Participation volontaire : aucun prélèvement forcé sur le patrimoine.</w:t>
      </w:r>
    </w:p>
    <w:p>
      <w:pPr>
        <w:pStyle w:val="ListBullet"/>
      </w:pPr>
      <w:r>
        <w:t>LTV prudent et consolidé ; transparence du principal restant dû.</w:t>
      </w:r>
    </w:p>
    <w:p>
      <w:pPr>
        <w:pStyle w:val="ListBullet"/>
      </w:pPr>
      <w:r>
        <w:t>Protection contre le risque de taux et le surendettement.</w:t>
      </w:r>
    </w:p>
    <w:p>
      <w:pPr>
        <w:pStyle w:val="ListBullet"/>
      </w:pPr>
      <w:r>
        <w:t>Accès non discriminatoire sous réserve de critères prudentiels.</w:t>
      </w:r>
    </w:p>
    <w:p>
      <w:pPr>
        <w:pStyle w:val="Heading1"/>
      </w:pPr>
      <w:r>
        <w:t>II. Engagement productif</w:t>
      </w:r>
    </w:p>
    <w:p>
      <w:pPr>
        <w:pStyle w:val="ListBullet"/>
      </w:pPr>
      <w:r>
        <w:t>Accélérer l’offre là où la demande supplémentaire risque de buter sur des capacités contraintes.</w:t>
      </w:r>
    </w:p>
    <w:p>
      <w:pPr>
        <w:pStyle w:val="ListBullet"/>
      </w:pPr>
      <w:r>
        <w:t>Prioriser investissement, logement, rénovation, énergie, services et production domestique.</w:t>
      </w:r>
    </w:p>
    <w:p>
      <w:pPr>
        <w:pStyle w:val="ListBullet"/>
      </w:pPr>
      <w:r>
        <w:t>Mesurer le contenu importé et adapter le rythme du Pacte.</w:t>
      </w:r>
    </w:p>
    <w:p>
      <w:pPr>
        <w:pStyle w:val="Heading1"/>
      </w:pPr>
      <w:r>
        <w:t>III. Engagement emploi/revenu</w:t>
      </w:r>
    </w:p>
    <w:p>
      <w:pPr>
        <w:pStyle w:val="ListBullet"/>
      </w:pPr>
      <w:r>
        <w:t>Le ménage ne doit pas être invité à substituer le patrimoine à un revenu durable.</w:t>
      </w:r>
    </w:p>
    <w:p>
      <w:pPr>
        <w:pStyle w:val="ListBullet"/>
      </w:pPr>
      <w:r>
        <w:t>Objectif de taux d’emploi élevé, mobilité et formation.</w:t>
      </w:r>
    </w:p>
    <w:p>
      <w:pPr>
        <w:pStyle w:val="ListBullet"/>
      </w:pPr>
      <w:r>
        <w:t>Filets de sécurité et mécanismes de restructuration en cas de choc de revenu.</w:t>
      </w:r>
    </w:p>
    <w:p>
      <w:pPr>
        <w:pStyle w:val="Heading1"/>
      </w:pPr>
      <w:r>
        <w:t>IV. Engagement public</w:t>
      </w:r>
    </w:p>
    <w:p>
      <w:pPr>
        <w:pStyle w:val="ListBullet"/>
      </w:pPr>
      <w:r>
        <w:t>Règle pluriannuelle de croissance nominale de la dépense.</w:t>
      </w:r>
    </w:p>
    <w:p>
      <w:pPr>
        <w:pStyle w:val="ListBullet"/>
      </w:pPr>
      <w:r>
        <w:t>Publication annuelle du Pacte Spread.</w:t>
      </w:r>
    </w:p>
    <w:p>
      <w:pPr>
        <w:pStyle w:val="ListBullet"/>
      </w:pPr>
      <w:r>
        <w:t>Clause de ralentissement du DFMA si l’État ne respecte pas son engagement.</w:t>
      </w:r>
    </w:p>
    <w:p>
      <w:pPr>
        <w:pStyle w:val="ListBullet"/>
      </w:pPr>
      <w:r>
        <w:t>Aucune utilisation du crédit privé comme excuse pour reporter les réformes de dépense.</w:t>
      </w:r>
    </w:p>
    <w:p>
      <w:pPr>
        <w:pStyle w:val="Heading1"/>
      </w:pPr>
      <w:r>
        <w:t>Principe d’équité intergénérationnelle</w:t>
      </w:r>
    </w:p>
    <w:p>
      <w:r>
        <w:t>La génération propriétaire ne doit pas simplement consommer le capital immobilier en laissant dette publique et dette privée aux suivantes. Le Pacte est cohérent seulement s’il transforme une partie de la fenêtre patrimoniale en actifs productifs, emploi, capacité d’offre et bilan public plus robuste.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