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Pacte — Decision Log</w:t>
      </w:r>
    </w:p>
    <w:p>
      <w:pPr>
        <w:jc w:val="left"/>
      </w:pPr>
      <w:r>
        <w:rPr>
          <w:i/>
          <w:color w:val="666666"/>
          <w:sz w:val="24"/>
        </w:rPr>
        <w:t>Décisions de conception, hypothèses actives et points ouverts</w:t>
      </w:r>
    </w:p>
    <w:p>
      <w:r>
        <w:rPr>
          <w:color w:val="666666"/>
          <w:sz w:val="18"/>
        </w:rPr>
        <w:t>France 2040 · Document de travail · 28 septembre 2026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Date</w:t>
            </w:r>
          </w:p>
        </w:tc>
        <w:tc>
          <w:tcPr>
            <w:tcW w:type="dxa" w:w="3360"/>
          </w:tcPr>
          <w:p>
            <w:r>
              <w:t>Statut</w:t>
            </w:r>
          </w:p>
        </w:tc>
        <w:tc>
          <w:tcPr>
            <w:tcW w:type="dxa" w:w="3360"/>
          </w:tcPr>
          <w:p>
            <w:r>
              <w:t>Décision / question</w:t>
            </w:r>
          </w:p>
        </w:tc>
      </w:tr>
      <w:tr>
        <w:tc>
          <w:tcPr>
            <w:tcW w:type="dxa" w:w="3360"/>
          </w:tcPr>
          <w:p>
            <w:r>
              <w:t>28-09-2026</w:t>
            </w:r>
          </w:p>
        </w:tc>
        <w:tc>
          <w:tcPr>
            <w:tcW w:type="dxa" w:w="3360"/>
          </w:tcPr>
          <w:p>
            <w:r>
              <w:t>ACTIF</w:t>
            </w:r>
          </w:p>
        </w:tc>
        <w:tc>
          <w:tcPr>
            <w:tcW w:type="dxa" w:w="3360"/>
          </w:tcPr>
          <w:p>
            <w:r>
              <w:t>Nom de travail : Pacte du Bilan Français ; intégré au projet France 2040.</w:t>
            </w:r>
          </w:p>
        </w:tc>
      </w:tr>
      <w:tr>
        <w:tc>
          <w:tcPr>
            <w:tcW w:type="dxa" w:w="3360"/>
          </w:tcPr>
          <w:p>
            <w:r>
              <w:t>28-09-2026</w:t>
            </w:r>
          </w:p>
        </w:tc>
        <w:tc>
          <w:tcPr>
            <w:tcW w:type="dxa" w:w="3360"/>
          </w:tcPr>
          <w:p>
            <w:r>
              <w:t>ACTIF</w:t>
            </w:r>
          </w:p>
        </w:tc>
        <w:tc>
          <w:tcPr>
            <w:tcW w:type="dxa" w:w="3360"/>
          </w:tcPr>
          <w:p>
            <w:r>
              <w:t>Horizon : 2027–2040 ; mécanisme explicitement one-shot.</w:t>
            </w:r>
          </w:p>
        </w:tc>
      </w:tr>
      <w:tr>
        <w:tc>
          <w:tcPr>
            <w:tcW w:type="dxa" w:w="3360"/>
          </w:tcPr>
          <w:p>
            <w:r>
              <w:t>28-09-2026</w:t>
            </w:r>
          </w:p>
        </w:tc>
        <w:tc>
          <w:tcPr>
            <w:tcW w:type="dxa" w:w="3360"/>
          </w:tcPr>
          <w:p>
            <w:r>
              <w:t>ACTIF</w:t>
            </w:r>
          </w:p>
        </w:tc>
        <w:tc>
          <w:tcPr>
            <w:tcW w:type="dxa" w:w="3360"/>
          </w:tcPr>
          <w:p>
            <w:r>
              <w:t>Crédit net central : 700 Md€ avec extinction à zéro en 2040.</w:t>
            </w:r>
          </w:p>
        </w:tc>
      </w:tr>
      <w:tr>
        <w:tc>
          <w:tcPr>
            <w:tcW w:type="dxa" w:w="3360"/>
          </w:tcPr>
          <w:p>
            <w:r>
              <w:t>28-09-2026</w:t>
            </w:r>
          </w:p>
        </w:tc>
        <w:tc>
          <w:tcPr>
            <w:tcW w:type="dxa" w:w="3360"/>
          </w:tcPr>
          <w:p>
            <w:r>
              <w:t>ACTIF</w:t>
            </w:r>
          </w:p>
        </w:tc>
        <w:tc>
          <w:tcPr>
            <w:tcW w:type="dxa" w:w="3360"/>
          </w:tcPr>
          <w:p>
            <w:r>
              <w:t>Produit de référence : long, principalement taux fixe, interest-only.</w:t>
            </w:r>
          </w:p>
        </w:tc>
      </w:tr>
      <w:tr>
        <w:tc>
          <w:tcPr>
            <w:tcW w:type="dxa" w:w="3360"/>
          </w:tcPr>
          <w:p>
            <w:r>
              <w:t>28-09-2026</w:t>
            </w:r>
          </w:p>
        </w:tc>
        <w:tc>
          <w:tcPr>
            <w:tcW w:type="dxa" w:w="3360"/>
          </w:tcPr>
          <w:p>
            <w:r>
              <w:t>ACTIF</w:t>
            </w:r>
          </w:p>
        </w:tc>
        <w:tc>
          <w:tcPr>
            <w:tcW w:type="dxa" w:w="3360"/>
          </w:tcPr>
          <w:p>
            <w:r>
              <w:t>LTV consolidé prudent : ordre de grandeur 40–50 %.</w:t>
            </w:r>
          </w:p>
        </w:tc>
      </w:tr>
      <w:tr>
        <w:tc>
          <w:tcPr>
            <w:tcW w:type="dxa" w:w="3360"/>
          </w:tcPr>
          <w:p>
            <w:r>
              <w:t>28-09-2026</w:t>
            </w:r>
          </w:p>
        </w:tc>
        <w:tc>
          <w:tcPr>
            <w:tcW w:type="dxa" w:w="3360"/>
          </w:tcPr>
          <w:p>
            <w:r>
              <w:t>ACTIF</w:t>
            </w:r>
          </w:p>
        </w:tc>
        <w:tc>
          <w:tcPr>
            <w:tcW w:type="dxa" w:w="3360"/>
          </w:tcPr>
          <w:p>
            <w:r>
              <w:t>KPI fiscal : Pacte Spread = croissance PIB nominal – croissance dépense publique nominale.</w:t>
            </w:r>
          </w:p>
        </w:tc>
      </w:tr>
      <w:tr>
        <w:tc>
          <w:tcPr>
            <w:tcW w:type="dxa" w:w="3360"/>
          </w:tcPr>
          <w:p>
            <w:r>
              <w:t>28-09-2026</w:t>
            </w:r>
          </w:p>
        </w:tc>
        <w:tc>
          <w:tcPr>
            <w:tcW w:type="dxa" w:w="3360"/>
          </w:tcPr>
          <w:p>
            <w:r>
              <w:t>ACTIF</w:t>
            </w:r>
          </w:p>
        </w:tc>
        <w:tc>
          <w:tcPr>
            <w:tcW w:type="dxa" w:w="3360"/>
          </w:tcPr>
          <w:p>
            <w:r>
              <w:t>Modèle : séparer crédit→réel, prix→nominal, immobilier→LTV, dépense→bilan public.</w:t>
            </w:r>
          </w:p>
        </w:tc>
      </w:tr>
      <w:tr>
        <w:tc>
          <w:tcPr>
            <w:tcW w:type="dxa" w:w="3360"/>
          </w:tcPr>
          <w:p>
            <w:r>
              <w:t>28-09-2026</w:t>
            </w:r>
          </w:p>
        </w:tc>
        <w:tc>
          <w:tcPr>
            <w:tcW w:type="dxa" w:w="3360"/>
          </w:tcPr>
          <w:p>
            <w:r>
              <w:t>À VALIDER</w:t>
            </w:r>
          </w:p>
        </w:tc>
        <w:tc>
          <w:tcPr>
            <w:tcW w:type="dxa" w:w="3360"/>
          </w:tcPr>
          <w:p>
            <w:r>
              <w:t>Déflateur central 2,5 % ; croissance réelle sous-jacente 1 %.</w:t>
            </w:r>
          </w:p>
        </w:tc>
      </w:tr>
      <w:tr>
        <w:tc>
          <w:tcPr>
            <w:tcW w:type="dxa" w:w="3360"/>
          </w:tcPr>
          <w:p>
            <w:r>
              <w:t>28-09-2026</w:t>
            </w:r>
          </w:p>
        </w:tc>
        <w:tc>
          <w:tcPr>
            <w:tcW w:type="dxa" w:w="3360"/>
          </w:tcPr>
          <w:p>
            <w:r>
              <w:t>À VALIDER</w:t>
            </w:r>
          </w:p>
        </w:tc>
        <w:tc>
          <w:tcPr>
            <w:tcW w:type="dxa" w:w="3360"/>
          </w:tcPr>
          <w:p>
            <w:r>
              <w:t>Croissance nominale dépense publique 2 %.</w:t>
            </w:r>
          </w:p>
        </w:tc>
      </w:tr>
      <w:tr>
        <w:tc>
          <w:tcPr>
            <w:tcW w:type="dxa" w:w="3360"/>
          </w:tcPr>
          <w:p>
            <w:r>
              <w:t>28-09-2026</w:t>
            </w:r>
          </w:p>
        </w:tc>
        <w:tc>
          <w:tcPr>
            <w:tcW w:type="dxa" w:w="3360"/>
          </w:tcPr>
          <w:p>
            <w:r>
              <w:t>OUVERT</w:t>
            </w:r>
          </w:p>
        </w:tc>
        <w:tc>
          <w:tcPr>
            <w:tcW w:type="dxa" w:w="3360"/>
          </w:tcPr>
          <w:p>
            <w:r>
              <w:t>Calibration empirique du multiplicateur du crédit et des importations.</w:t>
            </w:r>
          </w:p>
        </w:tc>
      </w:tr>
      <w:tr>
        <w:tc>
          <w:tcPr>
            <w:tcW w:type="dxa" w:w="3360"/>
          </w:tcPr>
          <w:p>
            <w:r>
              <w:t>28-09-2026</w:t>
            </w:r>
          </w:p>
        </w:tc>
        <w:tc>
          <w:tcPr>
            <w:tcW w:type="dxa" w:w="3360"/>
          </w:tcPr>
          <w:p>
            <w:r>
              <w:t>OUVERT</w:t>
            </w:r>
          </w:p>
        </w:tc>
        <w:tc>
          <w:tcPr>
            <w:tcW w:type="dxa" w:w="3360"/>
          </w:tcPr>
          <w:p>
            <w:r>
              <w:t>Architecture juridique/prudentielle et funding bancaire.</w:t>
            </w:r>
          </w:p>
        </w:tc>
      </w:tr>
      <w:tr>
        <w:tc>
          <w:tcPr>
            <w:tcW w:type="dxa" w:w="3360"/>
          </w:tcPr>
          <w:p>
            <w:r>
              <w:t>28-09-2026</w:t>
            </w:r>
          </w:p>
        </w:tc>
        <w:tc>
          <w:tcPr>
            <w:tcW w:type="dxa" w:w="3360"/>
          </w:tcPr>
          <w:p>
            <w:r>
              <w:t>OUVERT</w:t>
            </w:r>
          </w:p>
        </w:tc>
        <w:tc>
          <w:tcPr>
            <w:tcW w:type="dxa" w:w="3360"/>
          </w:tcPr>
          <w:p>
            <w:r>
              <w:t>Mesures distributives pour locataires et ménages sans patrimoine immobilier.</w:t>
            </w:r>
          </w:p>
        </w:tc>
      </w:tr>
      <w:tr>
        <w:tc>
          <w:tcPr>
            <w:tcW w:type="dxa" w:w="3360"/>
          </w:tcPr>
          <w:p>
            <w:r>
              <w:t>28-09-2026</w:t>
            </w:r>
          </w:p>
        </w:tc>
        <w:tc>
          <w:tcPr>
            <w:tcW w:type="dxa" w:w="3360"/>
          </w:tcPr>
          <w:p>
            <w:r>
              <w:t>OUVERT</w:t>
            </w:r>
          </w:p>
        </w:tc>
        <w:tc>
          <w:tcPr>
            <w:tcW w:type="dxa" w:w="3360"/>
          </w:tcPr>
          <w:p>
            <w:r>
              <w:t>Nom public final du DFMA et du Pacte.</w:t>
            </w:r>
          </w:p>
        </w:tc>
      </w:tr>
    </w:tbl>
    <w:p>
      <w:pPr>
        <w:pStyle w:val="Heading1"/>
      </w:pPr>
      <w:r>
        <w:t>Règle de gouvernance du projet</w:t>
      </w:r>
    </w:p>
    <w:p>
      <w:r>
        <w:t>Toute nouvelle hypothèse chiffrée doit être marquée comme fait, hypothèse, scénario ou objectif. Les faits doivent avoir une source primaire ; les hypothèses doivent rester éditables dans le modèle ; les décisions conceptuelles doivent être consignées ici.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