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Pacte — Stratégie de déploiement</w:t>
      </w:r>
    </w:p>
    <w:p>
      <w:pPr>
        <w:jc w:val="left"/>
      </w:pPr>
      <w:r>
        <w:rPr>
          <w:i/>
          <w:color w:val="666666"/>
          <w:sz w:val="24"/>
        </w:rPr>
        <w:t>Comment faire examiner sérieusement une idée macroéconomique portée initialement par une personne inconnue du débat public français</w:t>
      </w:r>
    </w:p>
    <w:p>
      <w:r>
        <w:rPr>
          <w:color w:val="666666"/>
          <w:sz w:val="18"/>
        </w:rPr>
        <w:t>France 2040 · Document de travail · 28 septembre 2026</w:t>
      </w:r>
    </w:p>
    <w:p/>
    <w:p>
      <w:pPr>
        <w:pStyle w:val="Heading1"/>
      </w:pPr>
      <w:r>
        <w:t>1. Le problème de départ</w:t>
      </w:r>
    </w:p>
    <w:p>
      <w:r>
        <w:t>Le handicap initial n’est pas d’être à Amsterdam ni de ne pas être connu. C’est l’absence de signal externe permettant à un économiste, un journaliste ou un parlementaire de distinguer en trente secondes une proposition travaillée d’une théorie macroéconomique personnelle non testée. La stratégie doit donc fabriquer de la vérifiabilité et de la crédibilité avant de chercher la portée.</w:t>
      </w:r>
    </w:p>
    <w:p>
      <w:pPr>
        <w:pStyle w:val="Heading1"/>
      </w:pPr>
      <w:r>
        <w:t>2. Identité : public plutôt qu’anonyme</w:t>
      </w:r>
    </w:p>
    <w:p>
      <w:r>
        <w:t>Une publication anonyme peut protéger l’auteur, mais elle détruit une partie du signal de responsabilité et rend beaucoup plus difficile l’obtention de critiques qualifiées. Pour ce projet, la meilleure architecture est un site et un working paper signés, avec biographie factuelle courte, déclaration d’intérêts, versioning public, sources et modèle téléchargeable. Le projet peut avoir une marque autonome — France 2040 / Pacte du Bilan Français — sans masquer l’auteur.</w:t>
      </w:r>
    </w:p>
    <w:p>
      <w:pPr>
        <w:pStyle w:val="Heading1"/>
      </w:pPr>
      <w:r>
        <w:t>3. Le produit minimum crédible</w:t>
      </w:r>
    </w:p>
    <w:p>
      <w:pPr>
        <w:pStyle w:val="ListBullet"/>
      </w:pPr>
      <w:r>
        <w:t>Un papier principal de 20–30 pages lisible par un décideur.</w:t>
      </w:r>
    </w:p>
    <w:p>
      <w:pPr>
        <w:pStyle w:val="ListBullet"/>
      </w:pPr>
      <w:r>
        <w:t>Un executive brief de 2 pages : problème, mécanisme, chiffres, risques, demandes de recherche.</w:t>
      </w:r>
    </w:p>
    <w:p>
      <w:pPr>
        <w:pStyle w:val="ListBullet"/>
      </w:pPr>
      <w:r>
        <w:t>Le modèle Excel ouvert, avec hypothèses modifiables et scénarios adverses.</w:t>
      </w:r>
    </w:p>
    <w:p>
      <w:pPr>
        <w:pStyle w:val="ListBullet"/>
      </w:pPr>
      <w:r>
        <w:t>Un Evidence Book distinguant faits, hypothèses et inconnues.</w:t>
      </w:r>
    </w:p>
    <w:p>
      <w:pPr>
        <w:pStyle w:val="ListBullet"/>
      </w:pPr>
      <w:r>
        <w:t>Une FAQ « objections sérieuses » : inflation, bulle immobilière, banques, inégalités, importations, dette privée.</w:t>
      </w:r>
    </w:p>
    <w:p>
      <w:pPr>
        <w:pStyle w:val="ListBullet"/>
      </w:pPr>
      <w:r>
        <w:t>Un site statique très sobre avec DOI/archives de versions si possible, aucune esthétique de campagne électorale.</w:t>
      </w:r>
    </w:p>
    <w:p>
      <w:pPr>
        <w:pStyle w:val="Heading1"/>
      </w:pPr>
      <w:r>
        <w:t>4. Séquence de déploiement recommandée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Objectif</w:t>
            </w:r>
          </w:p>
        </w:tc>
        <w:tc>
          <w:tcPr>
            <w:tcW w:type="dxa" w:w="3360"/>
          </w:tcPr>
          <w:p>
            <w:r>
              <w:t>Action</w:t>
            </w:r>
          </w:p>
        </w:tc>
      </w:tr>
      <w:tr>
        <w:tc>
          <w:tcPr>
            <w:tcW w:type="dxa" w:w="3360"/>
          </w:tcPr>
          <w:p>
            <w:r>
              <w:t>0 — Red team</w:t>
            </w:r>
          </w:p>
        </w:tc>
        <w:tc>
          <w:tcPr>
            <w:tcW w:type="dxa" w:w="3360"/>
          </w:tcPr>
          <w:p>
            <w:r>
              <w:t>Trouver les failles avant publication</w:t>
            </w:r>
          </w:p>
        </w:tc>
        <w:tc>
          <w:tcPr>
            <w:tcW w:type="dxa" w:w="3360"/>
          </w:tcPr>
          <w:p>
            <w:r>
              <w:t>5–10 lecteurs : macro, banque, crédit immobilier, finances publiques, droit/prudentiel. Leur demander de réfuter la thèse, pas de l’endosser.</w:t>
            </w:r>
          </w:p>
        </w:tc>
      </w:tr>
      <w:tr>
        <w:tc>
          <w:tcPr>
            <w:tcW w:type="dxa" w:w="3360"/>
          </w:tcPr>
          <w:p>
            <w:r>
              <w:t>1 — Working paper v0.9</w:t>
            </w:r>
          </w:p>
        </w:tc>
        <w:tc>
          <w:tcPr>
            <w:tcW w:type="dxa" w:w="3360"/>
          </w:tcPr>
          <w:p>
            <w:r>
              <w:t>Créer un objet citable</w:t>
            </w:r>
          </w:p>
        </w:tc>
        <w:tc>
          <w:tcPr>
            <w:tcW w:type="dxa" w:w="3360"/>
          </w:tcPr>
          <w:p>
            <w:r>
              <w:t>Publication web + PDF + modèle + changelog. Invitation publique à la critique.</w:t>
            </w:r>
          </w:p>
        </w:tc>
      </w:tr>
      <w:tr>
        <w:tc>
          <w:tcPr>
            <w:tcW w:type="dxa" w:w="3360"/>
          </w:tcPr>
          <w:p>
            <w:r>
              <w:t>2 — Validation externe</w:t>
            </w:r>
          </w:p>
        </w:tc>
        <w:tc>
          <w:tcPr>
            <w:tcW w:type="dxa" w:w="3360"/>
          </w:tcPr>
          <w:p>
            <w:r>
              <w:t>Emprunter de la crédibilité</w:t>
            </w:r>
          </w:p>
        </w:tc>
        <w:tc>
          <w:tcPr>
            <w:tcW w:type="dxa" w:w="3360"/>
          </w:tcPr>
          <w:p>
            <w:r>
              <w:t>Chercher 2–4 notes de lecture ou commentaires signés, y compris critiques. Réviser en v1.0.</w:t>
            </w:r>
          </w:p>
        </w:tc>
      </w:tr>
      <w:tr>
        <w:tc>
          <w:tcPr>
            <w:tcW w:type="dxa" w:w="3360"/>
          </w:tcPr>
          <w:p>
            <w:r>
              <w:t>3 — Institutions</w:t>
            </w:r>
          </w:p>
        </w:tc>
        <w:tc>
          <w:tcPr>
            <w:tcW w:type="dxa" w:w="3360"/>
          </w:tcPr>
          <w:p>
            <w:r>
              <w:t>Mettre le sujet dans les bons circuits</w:t>
            </w:r>
          </w:p>
        </w:tc>
        <w:tc>
          <w:tcPr>
            <w:tcW w:type="dxa" w:w="3360"/>
          </w:tcPr>
          <w:p>
            <w:r>
              <w:t>Envois ciblés aux économistes et administrateurs compétents, commissions finances/économie, autorités et think tanks. Courrier individualisé d’une page, pas blast.</w:t>
            </w:r>
          </w:p>
        </w:tc>
      </w:tr>
      <w:tr>
        <w:tc>
          <w:tcPr>
            <w:tcW w:type="dxa" w:w="3360"/>
          </w:tcPr>
          <w:p>
            <w:r>
              <w:t>4 — Débat public</w:t>
            </w:r>
          </w:p>
        </w:tc>
        <w:tc>
          <w:tcPr>
            <w:tcW w:type="dxa" w:w="3360"/>
          </w:tcPr>
          <w:p>
            <w:r>
              <w:t>Créer de la compréhension</w:t>
            </w:r>
          </w:p>
        </w:tc>
        <w:tc>
          <w:tcPr>
            <w:tcW w:type="dxa" w:w="3360"/>
          </w:tcPr>
          <w:p>
            <w:r>
              <w:t>Tribune, podcast, interview, conférence ; expliquer le paradoxe de bilan avant le produit hypothécaire.</w:t>
            </w:r>
          </w:p>
        </w:tc>
      </w:tr>
      <w:tr>
        <w:tc>
          <w:tcPr>
            <w:tcW w:type="dxa" w:w="3360"/>
          </w:tcPr>
          <w:p>
            <w:r>
              <w:t>5 — Fenêtre politique</w:t>
            </w:r>
          </w:p>
        </w:tc>
        <w:tc>
          <w:tcPr>
            <w:tcW w:type="dxa" w:w="3360"/>
          </w:tcPr>
          <w:p>
            <w:r>
              <w:t>Permettre l’appropriation</w:t>
            </w:r>
          </w:p>
        </w:tc>
        <w:tc>
          <w:tcPr>
            <w:tcW w:type="dxa" w:w="3360"/>
          </w:tcPr>
          <w:p>
            <w:r>
              <w:t>Rendre le matériel utilisable par plusieurs sensibilités politiques sans exclusivité ni alignement partisan. Le but est l’examen de l’idée, pas l’adhésion à un camp.</w:t>
            </w:r>
          </w:p>
        </w:tc>
      </w:tr>
    </w:tbl>
    <w:p>
      <w:pPr>
        <w:pStyle w:val="Heading1"/>
      </w:pPr>
      <w:r>
        <w:t>5. Parlement : ciblage plutôt que 925 courriels</w:t>
      </w:r>
    </w:p>
    <w:p>
      <w:r>
        <w:t>L’Assemblée nationale attribue explicitement à sa commission des finances les finances publiques, la conjoncture, la politique monétaire, les banques et les assurances. Au Sénat, la commission des finances dispose d’administrateurs spécialisés en analyse macroéconomique et équilibre des finances publiques. Ce sont des points d’entrée beaucoup plus pertinents qu’un envoi simultané à tous les parlementaires. Un second cercle peut viser les commissions des affaires économiques pour le logement, l’industrie et l’offre productive.</w:t>
      </w:r>
    </w:p>
    <w:p>
      <w:r>
        <w:t>La logique de contact devrait être : président/rapporteur général et administrateurs compétents ; quelques parlementaires de plusieurs groupes ayant travaillé sur dette, logement, banques ou croissance ; puis élargissement seulement après retours. Chaque message doit contenir une question précise : « où le mécanisme casse-t-il ? », « accepteriez-vous une audition technique de 30 minutes ? », ou « quel expert devrions-nous consulter ? ».</w:t>
      </w:r>
    </w:p>
    <w:p>
      <w:pPr>
        <w:pStyle w:val="Heading1"/>
      </w:pPr>
      <w:r>
        <w:t>6. Médias : après, pas avant</w:t>
      </w:r>
    </w:p>
    <w:p>
      <w:r>
        <w:t>Une exclusivité média trop tôt peut transformer une hypothèse de recherche en slogan avant qu’elle ait survécu à la critique. Une fois v1.0 disponible, viser d’abord des journalistes économiques capables de traiter dette, logement et banque. La narration publique tient en une phrase : la France a un bilan public fragile et un bilan privé massif ; peut-elle utiliser volontairement une petite partie du second, une seule fois, pour aider à réparer le premier tout en augmentant sa capacité productive ?</w:t>
      </w:r>
    </w:p>
    <w:p>
      <w:pPr>
        <w:pStyle w:val="Heading1"/>
      </w:pPr>
      <w:r>
        <w:t>7. Livre : non au départ</w:t>
      </w:r>
    </w:p>
    <w:p>
      <w:r>
        <w:t>Un livre est utile lorsque la thèse a déjà rencontré des objections, accumulé des preuves et acquis une histoire. Au lancement, il ralentirait l’itération et enfermerait trop tôt les paramètres. Le bon ordre est working paper → critiques → v1.0 → débat → éventuellement essai court ou livre si le sujet prend.</w:t>
      </w:r>
    </w:p>
    <w:p>
      <w:pPr>
        <w:pStyle w:val="Heading1"/>
      </w:pPr>
      <w:r>
        <w:t>8. Pétition : outil tardif, pas validation scientifique</w:t>
      </w:r>
    </w:p>
    <w:p>
      <w:r>
        <w:t>La plateforme de l’Assemblée nationale permet aux citoyens d’adresser une pétition au Parlement ; les pétitions peuvent être examinées en commission et celles dépassant certains seuils gagnent en visibilité. Le CESE dispose également d’un mécanisme de pétition citoyenne. Mais une pétition mesure une mobilisation, pas la robustesse macroéconomique. Elle n’est pertinente qu’après que la proposition est intelligible et techniquement documentée.</w:t>
      </w:r>
    </w:p>
    <w:p>
      <w:pPr>
        <w:pStyle w:val="Heading1"/>
      </w:pPr>
      <w:r>
        <w:t>9. Plan 90 jours</w:t>
      </w:r>
    </w:p>
    <w:tbl>
      <w:tblPr>
        <w:tblStyle w:val="LightShading-Accent1"/>
        <w:tblW w:type="auto" w:w="0"/>
        <w:tblLook w:firstColumn="1" w:firstRow="1" w:lastColumn="0" w:lastRow="0" w:noHBand="0" w:noVBand="1" w:val="04A0"/>
      </w:tblPr>
      <w:tblGrid>
        <w:gridCol w:w="5040"/>
        <w:gridCol w:w="5040"/>
      </w:tblGrid>
      <w:tr>
        <w:tc>
          <w:tcPr>
            <w:tcW w:type="dxa" w:w="5040"/>
          </w:tcPr>
          <w:p>
            <w:r>
              <w:t>Semaines</w:t>
            </w:r>
          </w:p>
        </w:tc>
        <w:tc>
          <w:tcPr>
            <w:tcW w:type="dxa" w:w="5040"/>
          </w:tcPr>
          <w:p>
            <w:r>
              <w:t>Livrable / action</w:t>
            </w:r>
          </w:p>
        </w:tc>
      </w:tr>
      <w:tr>
        <w:tc>
          <w:tcPr>
            <w:tcW w:type="dxa" w:w="5040"/>
          </w:tcPr>
          <w:p>
            <w:r>
              <w:t>1–2</w:t>
            </w:r>
          </w:p>
        </w:tc>
        <w:tc>
          <w:tcPr>
            <w:tcW w:type="dxa" w:w="5040"/>
          </w:tcPr>
          <w:p>
            <w:r>
              <w:t>Geler v0.8 : paper + modèle + Evidence Book + FAQ. Identifier 15 red-teamers potentiels.</w:t>
            </w:r>
          </w:p>
        </w:tc>
      </w:tr>
      <w:tr>
        <w:tc>
          <w:tcPr>
            <w:tcW w:type="dxa" w:w="5040"/>
          </w:tcPr>
          <w:p>
            <w:r>
              <w:t>3–4</w:t>
            </w:r>
          </w:p>
        </w:tc>
        <w:tc>
          <w:tcPr>
            <w:tcW w:type="dxa" w:w="5040"/>
          </w:tcPr>
          <w:p>
            <w:r>
              <w:t>Obtenir 5 entretiens techniques. Documenter chaque objection. Réviser paramètres et mécanismes.</w:t>
            </w:r>
          </w:p>
        </w:tc>
      </w:tr>
      <w:tr>
        <w:tc>
          <w:tcPr>
            <w:tcW w:type="dxa" w:w="5040"/>
          </w:tcPr>
          <w:p>
            <w:r>
              <w:t>5</w:t>
            </w:r>
          </w:p>
        </w:tc>
        <w:tc>
          <w:tcPr>
            <w:tcW w:type="dxa" w:w="5040"/>
          </w:tcPr>
          <w:p>
            <w:r>
              <w:t>Publier v0.9 sur france2040.fr (ou équivalent) avec versioning, sources et modèle.</w:t>
            </w:r>
          </w:p>
        </w:tc>
      </w:tr>
      <w:tr>
        <w:tc>
          <w:tcPr>
            <w:tcW w:type="dxa" w:w="5040"/>
          </w:tcPr>
          <w:p>
            <w:r>
              <w:t>6–8</w:t>
            </w:r>
          </w:p>
        </w:tc>
        <w:tc>
          <w:tcPr>
            <w:tcW w:type="dxa" w:w="5040"/>
          </w:tcPr>
          <w:p>
            <w:r>
              <w:t>Deuxième vague de 15–25 experts/institutions. Chercher critiques publiques courtes, pas endorsements.</w:t>
            </w:r>
          </w:p>
        </w:tc>
      </w:tr>
      <w:tr>
        <w:tc>
          <w:tcPr>
            <w:tcW w:type="dxa" w:w="5040"/>
          </w:tcPr>
          <w:p>
            <w:r>
              <w:t>9</w:t>
            </w:r>
          </w:p>
        </w:tc>
        <w:tc>
          <w:tcPr>
            <w:tcW w:type="dxa" w:w="5040"/>
          </w:tcPr>
          <w:p>
            <w:r>
              <w:t>Publier v1.0 + note « What changed after review ».</w:t>
            </w:r>
          </w:p>
        </w:tc>
      </w:tr>
      <w:tr>
        <w:tc>
          <w:tcPr>
            <w:tcW w:type="dxa" w:w="5040"/>
          </w:tcPr>
          <w:p>
            <w:r>
              <w:t>10–12</w:t>
            </w:r>
          </w:p>
        </w:tc>
        <w:tc>
          <w:tcPr>
            <w:tcW w:type="dxa" w:w="5040"/>
          </w:tcPr>
          <w:p>
            <w:r>
              <w:t>Approche ciblée Parlement / think tanks / journalistes économiques. Organiser une table ronde technique ouverte.</w:t>
            </w:r>
          </w:p>
        </w:tc>
      </w:tr>
    </w:tbl>
    <w:p>
      <w:pPr>
        <w:pStyle w:val="Heading1"/>
      </w:pPr>
      <w:r>
        <w:t>10. Ce qu’il ne faut pas faire</w:t>
      </w:r>
    </w:p>
    <w:p>
      <w:pPr>
        <w:pStyle w:val="ListBullet"/>
      </w:pPr>
      <w:r>
        <w:t>Ne pas acheter de visibilité avant d’avoir une thèse testable.</w:t>
      </w:r>
    </w:p>
    <w:p>
      <w:pPr>
        <w:pStyle w:val="ListBullet"/>
      </w:pPr>
      <w:r>
        <w:t>Ne pas envoyer le même PDF à tous les députés/sénateurs : cela ressemble à du lobbying de masse et produit peu de lecture.</w:t>
      </w:r>
    </w:p>
    <w:p>
      <w:pPr>
        <w:pStyle w:val="ListBullet"/>
      </w:pPr>
      <w:r>
        <w:t>Ne pas présenter 700 Md€ comme une prévision ou une promesse ; c’est un scénario à calibrer.</w:t>
      </w:r>
    </w:p>
    <w:p>
      <w:pPr>
        <w:pStyle w:val="ListBullet"/>
      </w:pPr>
      <w:r>
        <w:t>Ne pas cacher les risques de bulle, d’inégalités ou de dette privée : les mettre au centre renforce la crédibilité.</w:t>
      </w:r>
    </w:p>
    <w:p>
      <w:pPr>
        <w:pStyle w:val="ListBullet"/>
      </w:pPr>
      <w:r>
        <w:t>Ne pas chercher un champion politique unique trop tôt ; cela peut partisaniser une proposition qui a besoin d’examen transversal.</w:t>
      </w:r>
    </w:p>
    <w:p>
      <w:pPr>
        <w:pStyle w:val="ListBullet"/>
      </w:pPr>
      <w:r>
        <w:t>Ne pas commencer par un livre de 250 pages. L’itération est encore un avantage.</w:t>
      </w:r>
    </w:p>
    <w:p>
      <w:pPr>
        <w:pStyle w:val="Heading1"/>
      </w:pPr>
      <w:r>
        <w:t>11. Mesure du progrès</w:t>
      </w:r>
    </w:p>
    <w:p>
      <w:pPr>
        <w:pStyle w:val="ListBullet"/>
      </w:pPr>
      <w:r>
        <w:t>Nombre de critiques techniques substantielles reçues et résolues.</w:t>
      </w:r>
    </w:p>
    <w:p>
      <w:pPr>
        <w:pStyle w:val="ListBullet"/>
      </w:pPr>
      <w:r>
        <w:t>Nombre d’experts indépendants acceptant d’être cités comme reviewers — sans exiger leur soutien.</w:t>
      </w:r>
    </w:p>
    <w:p>
      <w:pPr>
        <w:pStyle w:val="ListBullet"/>
      </w:pPr>
      <w:r>
        <w:t>Demandes d’entretien émanant d’institutions plutôt que volume d’impressions sociales.</w:t>
      </w:r>
    </w:p>
    <w:p>
      <w:pPr>
        <w:pStyle w:val="ListBullet"/>
      </w:pPr>
      <w:r>
        <w:t>Réutilisation du modèle ou citation du papier dans une note, audition, article ou travail académique.</w:t>
      </w:r>
    </w:p>
    <w:p>
      <w:pPr>
        <w:pStyle w:val="ListBullet"/>
      </w:pPr>
      <w:r>
        <w:t>Capacité à expliquer la proposition en 60 secondes, 2 pages et 25 pages sans contradiction.</w:t>
      </w:r>
    </w:p>
    <w:p>
      <w:pPr>
        <w:pStyle w:val="Heading1"/>
      </w:pPr>
      <w:r>
        <w:t>12. Positionnement personnel</w:t>
      </w:r>
    </w:p>
    <w:p>
      <w:r>
        <w:t>Le meilleur positionnement n’est pas « j’ai trouvé la solution pour la France ». C’est : « j’ai construit une hypothèse de politique économique inhabituelle ; voici le mécanisme, le modèle, les risques et les conditions qui la réfuteraient. Je cherche des personnes capables de la casser ou de l’améliorer. » Pour un auteur extérieur aux institutions, cette posture transforme l’absence de statut en avantage : indépendance, transparence et capacité d’itération.</w:t>
      </w:r>
    </w:p>
    <w:p>
      <w:pPr>
        <w:pStyle w:val="Heading1"/>
      </w:pPr>
      <w:r>
        <w:t>Sources principales</w:t>
      </w:r>
    </w:p>
    <w:p>
      <w:pPr>
        <w:pStyle w:val="ListBullet"/>
      </w:pPr>
      <w:r>
        <w:rPr>
          <w:b/>
        </w:rPr>
        <w:t xml:space="preserve">Assemblée nationale — Commission des finances — </w:t>
      </w:r>
      <w:r>
        <w:t>Compétences : finances publiques, conjoncture, banques, assurances.</w:t>
        <w:br/>
        <w:t>https://www.assemblee-nationale.fr/dyn/17/organes/commissions-permanentes/finances</w:t>
      </w:r>
    </w:p>
    <w:p>
      <w:pPr>
        <w:pStyle w:val="ListBullet"/>
      </w:pPr>
      <w:r>
        <w:rPr>
          <w:b/>
        </w:rPr>
        <w:t xml:space="preserve">Sénat — Annuaire de la commission des finances — </w:t>
      </w:r>
      <w:r>
        <w:t>Contacts et spécialisations des administrateurs.</w:t>
        <w:br/>
        <w:t>https://www.senat.fr/travaux-parlementaires/commissions/commission-des-finances/finances/annuaire-de-la-commission-des-finances.html</w:t>
      </w:r>
    </w:p>
    <w:p>
      <w:pPr>
        <w:pStyle w:val="ListBullet"/>
      </w:pPr>
      <w:r>
        <w:rPr>
          <w:b/>
        </w:rPr>
        <w:t xml:space="preserve">Assemblée nationale — Pétitions — </w:t>
      </w:r>
      <w:r>
        <w:t>Cadre officiel des pétitions citoyennes.</w:t>
        <w:br/>
        <w:t>https://www.assemblee-nationale.fr/dyn/petitions</w:t>
      </w:r>
    </w:p>
    <w:p>
      <w:pPr>
        <w:pStyle w:val="ListBullet"/>
      </w:pPr>
      <w:r>
        <w:rPr>
          <w:b/>
        </w:rPr>
        <w:t xml:space="preserve">CESE — Pétitions citoyennes — </w:t>
      </w:r>
      <w:r>
        <w:t>Saisine citoyenne sur questions économiques, sociales et environnementales.</w:t>
        <w:br/>
        <w:t>https://www.lecese.fr/petitions-citoyennes/petitions-mode-demploi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