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técnica</w:t>
      </w:r>
      <w:r>
        <w:t xml:space="preserve"> </w:t>
      </w:r>
      <w:r>
        <w:t xml:space="preserve">y</w:t>
      </w:r>
      <w:r>
        <w:t xml:space="preserve"> </w:t>
      </w:r>
      <w:r>
        <w:t xml:space="preserve">económica</w:t>
      </w:r>
    </w:p>
    <w:p>
      <w:pPr>
        <w:pStyle w:val="Subtitle"/>
      </w:pPr>
      <w:r>
        <w:t xml:space="preserve">Servicio</w:t>
      </w:r>
      <w:r>
        <w:t xml:space="preserve"> </w:t>
      </w:r>
      <w:r>
        <w:t xml:space="preserve">de</w:t>
      </w:r>
      <w:r>
        <w:t xml:space="preserve"> </w:t>
      </w:r>
      <w:r>
        <w:t xml:space="preserve">Estudio</w:t>
      </w:r>
      <w:r>
        <w:t xml:space="preserve"> </w:t>
      </w:r>
      <w:r>
        <w:t xml:space="preserve">de</w:t>
      </w:r>
      <w:r>
        <w:t xml:space="preserve"> </w:t>
      </w:r>
      <w:r>
        <w:t xml:space="preserve">Clima</w:t>
      </w:r>
      <w:r>
        <w:t xml:space="preserve"> </w:t>
      </w:r>
      <w:r>
        <w:t xml:space="preserve">Laboral</w:t>
      </w:r>
      <w:r>
        <w:t xml:space="preserve"> </w:t>
      </w:r>
      <w:r>
        <w:t xml:space="preserve">2026</w:t>
      </w:r>
      <w:r>
        <w:t xml:space="preserve"> </w:t>
      </w:r>
      <w:r>
        <w:t xml:space="preserve">–</w:t>
      </w:r>
      <w:r>
        <w:t xml:space="preserve"> </w:t>
      </w:r>
      <w:r>
        <w:t xml:space="preserve">Empresa</w:t>
      </w:r>
      <w:r>
        <w:t xml:space="preserve"> </w:t>
      </w:r>
      <w:r>
        <w:t xml:space="preserve">Portuaria</w:t>
      </w:r>
      <w:r>
        <w:t xml:space="preserve"> </w:t>
      </w:r>
      <w:r>
        <w:t xml:space="preserve">Coquimbo</w:t>
      </w:r>
      <w:r>
        <w:t xml:space="preserve"> </w:t>
      </w:r>
      <w:r>
        <w:t xml:space="preserve">·</w:t>
      </w:r>
      <w:r>
        <w:t xml:space="preserve"> </w:t>
      </w:r>
      <w:r>
        <w:t xml:space="preserve">Compra</w:t>
      </w:r>
      <w:r>
        <w:t xml:space="preserve"> </w:t>
      </w:r>
      <w:r>
        <w:t xml:space="preserve">Ágil</w:t>
      </w:r>
      <w:r>
        <w:t xml:space="preserve"> </w:t>
      </w:r>
      <w:r>
        <w:t xml:space="preserve">ID</w:t>
      </w:r>
      <w:r>
        <w:t xml:space="preserve"> </w:t>
      </w:r>
      <w:r>
        <w:t xml:space="preserve">1317954-9-COT26</w:t>
      </w:r>
    </w:p>
    <w:p>
      <w:pPr>
        <w:pStyle w:val="FirstParagraph"/>
      </w:pPr>
      <w:r>
        <w:rPr>
          <w:bCs/>
          <w:b/>
        </w:rPr>
        <w:t xml:space="preserve">Oferente:</w:t>
      </w:r>
      <w:r>
        <w:t xml:space="preserve"> </w:t>
      </w:r>
      <w:r>
        <w:t xml:space="preserve">CONSULTORES NICOLÁS PÉREZ ALLENDES E.I.R.L. (JUNCOS E.I.R.L.) · RUT 78.390.884-0</w:t>
      </w:r>
      <w:r>
        <w:br/>
      </w:r>
      <w:r>
        <w:t xml:space="preserve">Colón 352, oficina 318, La Serena · +56 9 9423 4563 · juncoseirl@gmail.com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20 de octubre de 2026</w:t>
      </w:r>
    </w:p>
    <w:bookmarkStart w:id="20" w:name="quiénes-somos"/>
    <w:p>
      <w:pPr>
        <w:pStyle w:val="Heading2"/>
      </w:pPr>
      <w:r>
        <w:t xml:space="preserve">1. Quiénes somos</w:t>
      </w:r>
    </w:p>
    <w:p>
      <w:pPr>
        <w:pStyle w:val="FirstParagraph"/>
      </w:pPr>
      <w:r>
        <w:t xml:space="preserve">JUNCOS E.I.R.L. es una consultora de La Serena dedicada a estudios sociales y organizacionales, encuestas, diagnósticos y metodologías participativas para instituciones públicas de la Región de Coquimbo. Somos una empresa de menor tamaño. Al estar a minutos de EPCO, la coordinación y la presentación de resultados pueden ser presenciales.</w:t>
      </w:r>
    </w:p>
    <w:p>
      <w:pPr>
        <w:pStyle w:val="BodyText"/>
      </w:pPr>
      <w:r>
        <w:rPr>
          <w:bCs/>
          <w:b/>
        </w:rPr>
        <w:t xml:space="preserve">Consultor responsable e interlocutor único con EPCO:</w:t>
      </w:r>
      <w:r>
        <w:t xml:space="preserve"> </w:t>
      </w:r>
      <w:r>
        <w:t xml:space="preserve">Nicolás Pérez Allendes, sociólogo (Universidad Central de Chile) y magíster en Ciencia Política (Universidad de Chile). Dirige y ejecuta personalmente el estudio, desde el diseño hasta la presentación al Directorio.</w:t>
      </w:r>
      <w:r>
        <w:br/>
      </w:r>
      <w:r>
        <w:t xml:space="preserve">Contacto: +56 9 9423 4563 · juncoseirl@gmail.com</w:t>
      </w:r>
    </w:p>
    <w:bookmarkEnd w:id="20"/>
    <w:bookmarkStart w:id="21" w:name="experiencia-del-consultor"/>
    <w:p>
      <w:pPr>
        <w:pStyle w:val="Heading2"/>
      </w:pPr>
      <w:r>
        <w:t xml:space="preserve">2. Experiencia del consultor</w:t>
      </w:r>
    </w:p>
    <w:p>
      <w:pPr>
        <w:pStyle w:val="FirstParagraph"/>
      </w:pPr>
      <w:r>
        <w:t xml:space="preserve">Nicolás Pérez Allendes tiene más de diez años de experiencia en investigación social aplicada, diagnósticos y metodologías participativas. Esa experiencia se complementa con cargos directivos en el sector público, a cargo de equipos y servicios con dotaciones numerosas. Eso le permite leer los resultados de un estudio de clima desde la gestión, no solo desde la estadística.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8D3DC"/>
          <w:left w:val="single" w:sz="4" w:color="C8D3DC"/>
          <w:bottom w:val="single" w:sz="4" w:color="C8D3DC"/>
          <w:right w:val="single" w:sz="4" w:color="C8D3DC"/>
          <w:insideH w:val="single" w:sz="4" w:color="C8D3DC"/>
          <w:insideV w:val="single" w:sz="4" w:color="C8D3DC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D4E6B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Mandante</w:t>
            </w:r>
          </w:p>
        </w:tc>
        <w:tc>
          <w:tcPr>
            <w:shd w:val="clear" w:color="auto" w:fill="1D4E6B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Período</w:t>
            </w:r>
          </w:p>
        </w:tc>
        <w:tc>
          <w:tcPr>
            <w:shd w:val="clear" w:color="auto" w:fill="1D4E6B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Estudio o servicio</w:t>
            </w:r>
          </w:p>
        </w:tc>
        <w:tc>
          <w:tcPr>
            <w:shd w:val="clear" w:color="auto" w:fill="1D4E6B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Referencia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Instituto de Políticas Públicas, Universidad Católica del Norte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2016-2017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Diagnóstico participativo regional para el Plan Regional de Lectura 2016-2020 de la Región de Coquimbo: diseño metodológico, levantamiento, análisis y sistematización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Daniela Henríquez Encamilla, PhD, exdirectora alterna del IPP-UCN · daniela.henriquez@ucn.cl · +56 9 8516 0339</w:t>
            </w:r>
          </w:p>
        </w:tc>
      </w:tr>
      <w:tr>
        <w:tc>
          <w:tcPr>
            <w:shd w:val="clear" w:color="auto" w:fill="F3F7FA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Ilustre Municipalidad de Coquimbo, DIDECO</w:t>
            </w:r>
          </w:p>
        </w:tc>
        <w:tc>
          <w:tcPr>
            <w:shd w:val="clear" w:color="auto" w:fill="F3F7FA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2021-2022</w:t>
            </w:r>
          </w:p>
        </w:tc>
        <w:tc>
          <w:tcPr>
            <w:shd w:val="clear" w:color="auto" w:fill="F3F7FA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Encargado de la Oficina de Análisis de la Realidad Social y Territorial: diseño de metodologías e instrumentos de diagnóstico, y capacitación de equipos y dirigentes</w:t>
            </w:r>
          </w:p>
        </w:tc>
        <w:tc>
          <w:tcPr>
            <w:shd w:val="clear" w:color="auto" w:fill="F3F7FA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Universidad Central de Chile, sede Región de Coquimbo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2018-2021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Coordinación del proyecto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“</w:t>
            </w:r>
            <w:r>
              <w:rPr>
                <w:rFonts w:ascii="Arial" w:hAnsi="Arial"/>
                <w:sz w:val="18"/>
              </w:rPr>
              <w:t xml:space="preserve">Fortalecimiento de la condición ciudadana para reclusos y vigilantes del Complejo Penitenciario de Huachalalume</w:t>
            </w:r>
            <w:r>
              <w:rPr>
                <w:rFonts w:ascii="Arial" w:hAnsi="Arial"/>
                <w:sz w:val="18"/>
              </w:rPr>
              <w:t xml:space="preserve">”</w:t>
            </w:r>
            <w:r>
              <w:rPr>
                <w:rFonts w:ascii="Arial" w:hAnsi="Arial"/>
                <w:sz w:val="18"/>
              </w:rPr>
              <w:t xml:space="preserve">, con trabajo con funcionarios y personas privadas de libertad. Docencia en Diseño de Proyectos Sociales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Liliana Manzano Chávez, PhD, exdirectora de la carrera de Sociología · liliana.manzano@ucentral.cl · +56 9 7431 6615</w:t>
            </w:r>
          </w:p>
        </w:tc>
      </w:tr>
      <w:tr>
        <w:tc>
          <w:tcPr>
            <w:shd w:val="clear" w:color="auto" w:fill="F3F7FA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Universidad Central de Chile y Fundación del Río Arteaga</w:t>
            </w:r>
          </w:p>
        </w:tc>
        <w:tc>
          <w:tcPr>
            <w:shd w:val="clear" w:color="auto" w:fill="F3F7FA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2012</w:t>
            </w:r>
          </w:p>
        </w:tc>
        <w:tc>
          <w:tcPr>
            <w:shd w:val="clear" w:color="auto" w:fill="F3F7FA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Evaluación cualitativa de un programa de emprendimiento en el Complejo Penitenciario de Huachalalume</w:t>
            </w:r>
          </w:p>
        </w:tc>
        <w:tc>
          <w:tcPr>
            <w:shd w:val="clear" w:color="auto" w:fill="F3F7FA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Ilustre Municipalidad de Coquimbo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2022-2024 y desde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Diseño de metodologías de participación y de políticas comunales. Director de Servicios Traspasados (salud, educación y cementerios) en 2024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3F7FA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Ministerio de Educación, Región de Coquimbo</w:t>
            </w:r>
          </w:p>
        </w:tc>
        <w:tc>
          <w:tcPr>
            <w:shd w:val="clear" w:color="auto" w:fill="F3F7FA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2024-2026</w:t>
            </w:r>
          </w:p>
        </w:tc>
        <w:tc>
          <w:tcPr>
            <w:shd w:val="clear" w:color="auto" w:fill="F3F7FA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Secretario Regional Ministerial de Educación: conducción de equipos y gestión de mesas de diálogo con gremios y comunidades educativas</w:t>
            </w:r>
          </w:p>
        </w:tc>
        <w:tc>
          <w:tcPr>
            <w:shd w:val="clear" w:color="auto" w:fill="F3F7FA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Alejandra Arratia Martínez, PhD, exsubsecretaria de Educación · alejandraarratiam@gmail.com · +56 9 7987 1653</w:t>
            </w:r>
          </w:p>
        </w:tc>
      </w:tr>
    </w:tbl>
    <w:p>
      <w:pPr>
        <w:pStyle w:val="BodyText"/>
      </w:pPr>
      <w:r>
        <w:rPr>
          <w:bCs/>
          <w:b/>
        </w:rPr>
        <w:t xml:space="preserve">Herramientas:</w:t>
      </w:r>
      <w:r>
        <w:t xml:space="preserve"> </w:t>
      </w:r>
      <w:r>
        <w:t xml:space="preserve">manejo avanzado de SPSS para análisis estadístico. Curso de Investigación Cuantitativa y Experimentación en Marketing (UCN, 55 horas). Diseño de encuestas, grupos focales y diagnósticos participativos.</w:t>
      </w:r>
    </w:p>
    <w:p>
      <w:pPr>
        <w:pStyle w:val="BodyText"/>
      </w:pPr>
      <w:r>
        <w:t xml:space="preserve">Se adjunta el currículum completo.</w:t>
      </w:r>
    </w:p>
    <w:bookmarkEnd w:id="21"/>
    <w:bookmarkStart w:id="27" w:name="metodología"/>
    <w:p>
      <w:pPr>
        <w:pStyle w:val="Heading2"/>
      </w:pPr>
      <w:r>
        <w:t xml:space="preserve">3. Metodología</w:t>
      </w:r>
    </w:p>
    <w:bookmarkStart w:id="22" w:name="enfoque"/>
    <w:p>
      <w:pPr>
        <w:pStyle w:val="Heading3"/>
      </w:pPr>
      <w:r>
        <w:t xml:space="preserve">3.1 Enfoque</w:t>
      </w:r>
    </w:p>
    <w:p>
      <w:pPr>
        <w:pStyle w:val="FirstParagraph"/>
      </w:pPr>
      <w:r>
        <w:t xml:space="preserve">Es un estudio</w:t>
      </w:r>
      <w:r>
        <w:t xml:space="preserve"> </w:t>
      </w:r>
      <w:r>
        <w:rPr>
          <w:bCs/>
          <w:b/>
        </w:rPr>
        <w:t xml:space="preserve">censal</w:t>
      </w:r>
      <w:r>
        <w:t xml:space="preserve">: se invita a responder a las 19 personas de la dotación. Se usa una encuesta estructurada</w:t>
      </w:r>
      <w:r>
        <w:t xml:space="preserve"> </w:t>
      </w:r>
      <w:r>
        <w:rPr>
          <w:bCs/>
          <w:b/>
        </w:rPr>
        <w:t xml:space="preserve">comparable con la medición 2025</w:t>
      </w:r>
      <w:r>
        <w:t xml:space="preserve"> </w:t>
      </w:r>
      <w:r>
        <w:t xml:space="preserve">y se complementa con una lectura cualitativa breve para entender las causas de los resultados.</w:t>
      </w:r>
    </w:p>
    <w:bookmarkEnd w:id="22"/>
    <w:bookmarkStart w:id="23" w:name="instrumento"/>
    <w:p>
      <w:pPr>
        <w:pStyle w:val="Heading3"/>
      </w:pPr>
      <w:r>
        <w:t xml:space="preserve">3.2 Instrumento</w:t>
      </w:r>
    </w:p>
    <w:p>
      <w:pPr>
        <w:numPr>
          <w:ilvl w:val="0"/>
          <w:numId w:val="1001"/>
        </w:numPr>
        <w:pStyle w:val="Compact"/>
      </w:pPr>
      <w:r>
        <w:t xml:space="preserve">Se parte del</w:t>
      </w:r>
      <w:r>
        <w:t xml:space="preserve"> </w:t>
      </w:r>
      <w:r>
        <w:rPr>
          <w:bCs/>
          <w:b/>
        </w:rPr>
        <w:t xml:space="preserve">cuestionario 2025</w:t>
      </w:r>
      <w:r>
        <w:t xml:space="preserve"> </w:t>
      </w:r>
      <w:r>
        <w:t xml:space="preserve">de EPCO y se mantienen sus preguntas y escalas, para comparar año a año sin sesgos de medición.</w:t>
      </w:r>
    </w:p>
    <w:p>
      <w:pPr>
        <w:numPr>
          <w:ilvl w:val="0"/>
          <w:numId w:val="1001"/>
        </w:numPr>
        <w:pStyle w:val="Compact"/>
      </w:pPr>
      <w:r>
        <w:t xml:space="preserve">Si el instrumento 2025 no está disponible completo, se construye uno con</w:t>
      </w:r>
      <w:r>
        <w:t xml:space="preserve"> </w:t>
      </w:r>
      <w:r>
        <w:rPr>
          <w:bCs/>
          <w:b/>
        </w:rPr>
        <w:t xml:space="preserve">dimensiones equivalentes</w:t>
      </w:r>
      <w:r>
        <w:t xml:space="preserve"> </w:t>
      </w:r>
      <w:r>
        <w:t xml:space="preserve">y se documenta su correspondencia con 2025. Las dimensiones son: liderazgo, comunicación, motivación y reconocimiento, condiciones de trabajo, bienestar y equilibrio vida-trabajo, trabajo en equipo, desarrollo y compromiso.</w:t>
      </w:r>
    </w:p>
    <w:p>
      <w:pPr>
        <w:numPr>
          <w:ilvl w:val="0"/>
          <w:numId w:val="1001"/>
        </w:numPr>
        <w:pStyle w:val="Compact"/>
      </w:pPr>
      <w:r>
        <w:t xml:space="preserve">Se agregan dos preguntas abiertas: lo que más se valora de trabajar en EPCO y lo que se cambiaría.</w:t>
      </w:r>
    </w:p>
    <w:p>
      <w:pPr>
        <w:numPr>
          <w:ilvl w:val="0"/>
          <w:numId w:val="1001"/>
        </w:numPr>
        <w:pStyle w:val="Compact"/>
      </w:pPr>
      <w:r>
        <w:t xml:space="preserve">La versión final se</w:t>
      </w:r>
      <w:r>
        <w:t xml:space="preserve"> </w:t>
      </w:r>
      <w:r>
        <w:rPr>
          <w:bCs/>
          <w:b/>
        </w:rPr>
        <w:t xml:space="preserve">valida con la contraparte técnica</w:t>
      </w:r>
      <w:r>
        <w:t xml:space="preserve"> </w:t>
      </w:r>
      <w:r>
        <w:t xml:space="preserve">antes de aplicarse.</w:t>
      </w:r>
    </w:p>
    <w:bookmarkEnd w:id="23"/>
    <w:bookmarkStart w:id="24" w:name="aplicación-participación-y-anonimato"/>
    <w:p>
      <w:pPr>
        <w:pStyle w:val="Heading3"/>
      </w:pPr>
      <w:r>
        <w:t xml:space="preserve">3.3 Aplicación, participación y anonimato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Modalidad mixta: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en línea</w:t>
      </w:r>
      <w:r>
        <w:t xml:space="preserve">, con un enlace anónimo que se responde desde el computador o el celular;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en papel con urna sellada</w:t>
      </w:r>
      <w:r>
        <w:t xml:space="preserve">, para quienes trabajan en terreno o prefieran esa vía.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Comunicación interna:</w:t>
      </w:r>
      <w:r>
        <w:t xml:space="preserve"> </w:t>
      </w:r>
      <w:r>
        <w:t xml:space="preserve">invitación de la Gerencia, explicación del resguardo del anonimato y dos recordatorios.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Seguimiento de la tasa de respuesta</w:t>
      </w:r>
      <w:r>
        <w:t xml:space="preserve"> </w:t>
      </w:r>
      <w:r>
        <w:t xml:space="preserve">con la contraparte, sin identificar a quién respondió, hasta alcanzar la meta del</w:t>
      </w:r>
      <w:r>
        <w:t xml:space="preserve"> </w:t>
      </w:r>
      <w:r>
        <w:rPr>
          <w:bCs/>
          <w:b/>
        </w:rPr>
        <w:t xml:space="preserve">80%</w:t>
      </w:r>
      <w:r>
        <w:t xml:space="preserve"> </w:t>
      </w:r>
      <w:r>
        <w:t xml:space="preserve">(16 personas).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Anonimato garantizado:</w:t>
      </w:r>
    </w:p>
    <w:p>
      <w:pPr>
        <w:numPr>
          <w:ilvl w:val="1"/>
          <w:numId w:val="1004"/>
        </w:numPr>
        <w:pStyle w:val="Compact"/>
      </w:pPr>
      <w:r>
        <w:t xml:space="preserve">no se entregan respuestas individuales;</w:t>
      </w:r>
    </w:p>
    <w:p>
      <w:pPr>
        <w:numPr>
          <w:ilvl w:val="1"/>
          <w:numId w:val="1004"/>
        </w:numPr>
        <w:pStyle w:val="Compact"/>
      </w:pPr>
      <w:r>
        <w:t xml:space="preserve">los resultados se presentan agregados;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no se muestran resultados de grupos de menos de 5 personas</w:t>
      </w:r>
      <w:r>
        <w:t xml:space="preserve">, para que nadie sea identificable en una dotación de 19.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Datos personales:</w:t>
      </w:r>
      <w:r>
        <w:t xml:space="preserve"> </w:t>
      </w:r>
      <w:r>
        <w:t xml:space="preserve">se tratan según la Ley 19.628. Las bases de datos, los instrumentos y los resultados se entregan a EPCO al término del servicio.</w:t>
      </w:r>
    </w:p>
    <w:bookmarkEnd w:id="24"/>
    <w:bookmarkStart w:id="25" w:name="análisis"/>
    <w:p>
      <w:pPr>
        <w:pStyle w:val="Heading3"/>
      </w:pPr>
      <w:r>
        <w:t xml:space="preserve">3.4 Análisis</w:t>
      </w:r>
    </w:p>
    <w:p>
      <w:pPr>
        <w:numPr>
          <w:ilvl w:val="0"/>
          <w:numId w:val="1005"/>
        </w:numPr>
        <w:pStyle w:val="Compact"/>
      </w:pPr>
      <w:r>
        <w:t xml:space="preserve">Resultados por dimensión y por pregunta: porcentaje de respuestas favorables, neutras y desfavorables, y promedios.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Comparación 2025-2026:</w:t>
      </w:r>
      <w:r>
        <w:t xml:space="preserve"> </w:t>
      </w:r>
      <w:r>
        <w:t xml:space="preserve">avances, retrocesos y brechas por dimensión.</w:t>
      </w:r>
    </w:p>
    <w:p>
      <w:pPr>
        <w:numPr>
          <w:ilvl w:val="0"/>
          <w:numId w:val="1005"/>
        </w:numPr>
        <w:pStyle w:val="Compact"/>
      </w:pPr>
      <w:r>
        <w:t xml:space="preserve">Identificación de fortalezas y factores críticos.</w:t>
      </w:r>
    </w:p>
    <w:p>
      <w:pPr>
        <w:numPr>
          <w:ilvl w:val="0"/>
          <w:numId w:val="1005"/>
        </w:numPr>
        <w:pStyle w:val="Compact"/>
      </w:pPr>
      <w:r>
        <w:t xml:space="preserve">Análisis de contenido de las respuestas abiertas.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Conversación grupal breve y voluntaria</w:t>
      </w:r>
      <w:r>
        <w:t xml:space="preserve">, sin costo adicional, para interpretar los resultados más bajos antes del informe final.</w:t>
      </w:r>
    </w:p>
    <w:bookmarkEnd w:id="25"/>
    <w:bookmarkStart w:id="26" w:name="plan-de-trabajo-con-medidas-de-mejora"/>
    <w:p>
      <w:pPr>
        <w:pStyle w:val="Heading3"/>
      </w:pPr>
      <w:r>
        <w:t xml:space="preserve">3.5 Plan de trabajo con medidas de mejora</w:t>
      </w:r>
    </w:p>
    <w:p>
      <w:pPr>
        <w:pStyle w:val="FirstParagraph"/>
      </w:pPr>
      <w:r>
        <w:t xml:space="preserve">Para cada brecha relevante se propone una medida concreta, con</w:t>
      </w:r>
      <w:r>
        <w:t xml:space="preserve"> </w:t>
      </w:r>
      <w:r>
        <w:rPr>
          <w:bCs/>
          <w:b/>
        </w:rPr>
        <w:t xml:space="preserve">responsable sugerido, plazo e indicador de seguimiento</w:t>
      </w:r>
      <w:r>
        <w:t xml:space="preserve">, priorizada según el impacto y la factibilidad. Se entrega en un formato simple, que EPCO pueda usar directamente en su gestión de personas.</w:t>
      </w:r>
    </w:p>
    <w:bookmarkEnd w:id="26"/>
    <w:bookmarkEnd w:id="27"/>
    <w:bookmarkStart w:id="28" w:name="plan-de-trabajo-y-cronograma"/>
    <w:p>
      <w:pPr>
        <w:pStyle w:val="Heading2"/>
      </w:pPr>
      <w:r>
        <w:t xml:space="preserve">4. Plan de trabajo y cronograma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8D3DC"/>
          <w:left w:val="single" w:sz="4" w:color="C8D3DC"/>
          <w:bottom w:val="single" w:sz="4" w:color="C8D3DC"/>
          <w:right w:val="single" w:sz="4" w:color="C8D3DC"/>
          <w:insideH w:val="single" w:sz="4" w:color="C8D3DC"/>
          <w:insideV w:val="single" w:sz="4" w:color="C8D3DC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D4E6B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Etapa</w:t>
            </w:r>
          </w:p>
        </w:tc>
        <w:tc>
          <w:tcPr>
            <w:shd w:val="clear" w:color="auto" w:fill="1D4E6B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Fechas</w:t>
            </w:r>
          </w:p>
        </w:tc>
        <w:tc>
          <w:tcPr>
            <w:shd w:val="clear" w:color="auto" w:fill="1D4E6B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Actividades</w:t>
            </w:r>
          </w:p>
        </w:tc>
        <w:tc>
          <w:tcPr>
            <w:shd w:val="clear" w:color="auto" w:fill="1D4E6B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Producto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1. Levantamiento y preparación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Martes 27-10 al viernes 06-11-2026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Reunión de inicio presencial. Revisión de los resultados 2025, el organigrama y los documentos internos. Ajuste y validación de la encuesta con la contraparte. Plan de aplicación y comunicación interna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Encuesta validada y plan de aplicación</w:t>
            </w:r>
          </w:p>
        </w:tc>
      </w:tr>
      <w:tr>
        <w:tc>
          <w:tcPr>
            <w:shd w:val="clear" w:color="auto" w:fill="F3F7FA"/>
          </w:tcPr>
          <w:p>
            <w:pPr>
              <w:pStyle w:val="Compact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2. Aplicación y análisis</w:t>
            </w:r>
          </w:p>
        </w:tc>
        <w:tc>
          <w:tcPr>
            <w:shd w:val="clear" w:color="auto" w:fill="F3F7FA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Lunes 09-11 al viernes 20-11-2026</w:t>
            </w:r>
          </w:p>
        </w:tc>
        <w:tc>
          <w:tcPr>
            <w:shd w:val="clear" w:color="auto" w:fill="F3F7FA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Aplicación en línea y en papel. Seguimiento de la tasa de respuesta. Procesamiento estadístico. Conversación grupal breve</w:t>
            </w:r>
          </w:p>
        </w:tc>
        <w:tc>
          <w:tcPr>
            <w:shd w:val="clear" w:color="auto" w:fill="F3F7FA"/>
          </w:tcPr>
          <w:p>
            <w:pPr>
              <w:pStyle w:val="Compact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Informe preliminar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3. Consolidación y presentación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Lunes 23-11 al viernes 27-11-2026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Informe final con el análisis comparativo 2025-2026.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bCs/>
                <w:rFonts w:ascii="Arial" w:hAnsi="Arial"/>
                <w:b/>
                <w:sz w:val="18"/>
              </w:rPr>
              <w:t xml:space="preserve">Presentación ejecutiva presencial al Directorio y al equipo de gestión.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Plan de trabajo con medidas de mejora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Informe final, comparación 2025-2026, presentación y plan de trabajo</w:t>
            </w:r>
          </w:p>
        </w:tc>
      </w:tr>
    </w:tbl>
    <w:p>
      <w:pPr>
        <w:pStyle w:val="BodyText"/>
      </w:pPr>
      <w:r>
        <w:rPr>
          <w:bCs/>
          <w:b/>
        </w:rPr>
        <w:t xml:space="preserve">Entrega final: viernes 27 de noviembre de 2026.</w:t>
      </w:r>
    </w:p>
    <w:bookmarkEnd w:id="28"/>
    <w:bookmarkStart w:id="29" w:name="propuesta-económica"/>
    <w:p>
      <w:pPr>
        <w:pStyle w:val="Heading2"/>
      </w:pPr>
      <w:r>
        <w:t xml:space="preserve">5. Propuesta económica</w:t>
      </w:r>
    </w:p>
    <w:p>
      <w:pPr>
        <w:pStyle w:val="FirstParagraph"/>
      </w:pPr>
      <w:r>
        <w:t xml:space="preserve">Valor a</w:t>
      </w:r>
      <w:r>
        <w:t xml:space="preserve"> </w:t>
      </w:r>
      <w:r>
        <w:rPr>
          <w:bCs/>
          <w:b/>
        </w:rPr>
        <w:t xml:space="preserve">suma alzada</w:t>
      </w:r>
      <w:r>
        <w:t xml:space="preserve">, en pesos chilenos,</w:t>
      </w:r>
      <w:r>
        <w:t xml:space="preserve"> </w:t>
      </w:r>
      <w:r>
        <w:rPr>
          <w:bCs/>
          <w:b/>
        </w:rPr>
        <w:t xml:space="preserve">con IVA incluido</w:t>
      </w:r>
      <w:r>
        <w:t xml:space="preserve"> </w:t>
      </w:r>
      <w:r>
        <w:t xml:space="preserve">y sin reajustes.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D3DC"/>
          <w:left w:val="single" w:sz="4" w:color="C8D3DC"/>
          <w:bottom w:val="single" w:sz="4" w:color="C8D3DC"/>
          <w:right w:val="single" w:sz="4" w:color="C8D3DC"/>
          <w:insideH w:val="single" w:sz="4" w:color="C8D3DC"/>
          <w:insideV w:val="single" w:sz="4" w:color="C8D3DC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1D4E6B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Etapa</w:t>
            </w:r>
          </w:p>
        </w:tc>
        <w:tc>
          <w:tcPr>
            <w:shd w:val="clear" w:color="auto" w:fill="1D4E6B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Horas profesionales</w:t>
            </w:r>
          </w:p>
        </w:tc>
        <w:tc>
          <w:tcPr>
            <w:shd w:val="clear" w:color="auto" w:fill="1D4E6B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Valor neto</w:t>
            </w:r>
          </w:p>
        </w:tc>
        <w:tc>
          <w:tcPr>
            <w:shd w:val="clear" w:color="auto" w:fill="1D4E6B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IVA (19%)</w:t>
            </w:r>
          </w:p>
        </w:tc>
        <w:tc>
          <w:tcPr>
            <w:shd w:val="clear" w:color="auto" w:fill="1D4E6B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Valor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1. Levantamiento y preparación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$176.471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$33.529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$210.000</w:t>
            </w:r>
          </w:p>
        </w:tc>
      </w:tr>
      <w:tr>
        <w:tc>
          <w:tcPr>
            <w:shd w:val="clear" w:color="auto" w:fill="F3F7FA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2. Aplicación y análisis</w:t>
            </w:r>
          </w:p>
        </w:tc>
        <w:tc>
          <w:tcPr>
            <w:shd w:val="clear" w:color="auto" w:fill="F3F7FA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12</w:t>
            </w:r>
          </w:p>
        </w:tc>
        <w:tc>
          <w:tcPr>
            <w:shd w:val="clear" w:color="auto" w:fill="F3F7FA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$210.084</w:t>
            </w:r>
          </w:p>
        </w:tc>
        <w:tc>
          <w:tcPr>
            <w:shd w:val="clear" w:color="auto" w:fill="F3F7FA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$39.916</w:t>
            </w:r>
          </w:p>
        </w:tc>
        <w:tc>
          <w:tcPr>
            <w:shd w:val="clear" w:color="auto" w:fill="F3F7FA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$250.000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3. Consolidación y presentación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$243.697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$46.303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$290.000</w:t>
            </w:r>
          </w:p>
        </w:tc>
      </w:tr>
      <w:tr>
        <w:tc>
          <w:tcPr>
            <w:shd w:val="clear" w:color="auto" w:fill="F3F7FA"/>
          </w:tcPr>
          <w:p>
            <w:pPr>
              <w:pStyle w:val="Compact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Total</w:t>
            </w:r>
          </w:p>
        </w:tc>
        <w:tc>
          <w:tcPr>
            <w:shd w:val="clear" w:color="auto" w:fill="F3F7FA"/>
          </w:tcPr>
          <w:p>
            <w:pPr>
              <w:pStyle w:val="Compact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36</w:t>
            </w:r>
          </w:p>
        </w:tc>
        <w:tc>
          <w:tcPr>
            <w:shd w:val="clear" w:color="auto" w:fill="F3F7FA"/>
          </w:tcPr>
          <w:p>
            <w:pPr>
              <w:pStyle w:val="Compact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$630.252</w:t>
            </w:r>
          </w:p>
        </w:tc>
        <w:tc>
          <w:tcPr>
            <w:shd w:val="clear" w:color="auto" w:fill="F3F7FA"/>
          </w:tcPr>
          <w:p>
            <w:pPr>
              <w:pStyle w:val="Compact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$119.748</w:t>
            </w:r>
          </w:p>
        </w:tc>
        <w:tc>
          <w:tcPr>
            <w:shd w:val="clear" w:color="auto" w:fill="F3F7FA"/>
          </w:tcPr>
          <w:p>
            <w:pPr>
              <w:pStyle w:val="Compact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$750.000</w:t>
            </w:r>
          </w:p>
        </w:tc>
      </w:tr>
    </w:tbl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Incluye</w:t>
      </w:r>
      <w:r>
        <w:t xml:space="preserve"> </w:t>
      </w:r>
      <w:r>
        <w:t xml:space="preserve">todos los costos del servicio: traslados en La Serena–Coquimbo, impresión de encuestas en papel y urna, materiales y presentación presencial.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Forma de pago:</w:t>
      </w:r>
      <w:r>
        <w:t xml:space="preserve"> </w:t>
      </w:r>
      <w:r>
        <w:t xml:space="preserve">100% contra la entrega final y la presentación al Directorio, previa recepción conforme de EPCO, según lo establecido en la solicitud.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Nicolás Pérez Allendes</w:t>
      </w:r>
      <w:r>
        <w:br/>
      </w:r>
      <w:r>
        <w:t xml:space="preserve">Titular y representante legal</w:t>
      </w:r>
      <w:r>
        <w:br/>
      </w:r>
      <w:r>
        <w:t xml:space="preserve">CONSULTORES NICOLÁS PÉREZ ALLENDES E.I.R.L.</w:t>
      </w:r>
    </w:p>
    <w:bookmarkEnd w:id="29"/>
    <w:sectPr>
      <w:pgSz w:w="12240" w:h="15840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cs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cs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cs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cs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hAnsi="Arial" w:cs="Arial" w:eastAsia="Arial"/>
      <w:b/>
      <w:bCs/>
      <w:color w:val="1D4E6B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 w:cs="Arial" w:eastAsia="Arial"/>
      <w:b w:val="0"/>
      <w:color w:val="444444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hAnsi="Arial" w:cs="Arial" w:eastAsia="Arial"/>
      <w:b/>
      <w:bCs/>
      <w:color w:val="1D4E6B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hAnsi="Arial" w:cs="Arial" w:eastAsia="Arial"/>
      <w:b/>
      <w:bCs/>
      <w:color w:val="1D4E6B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hAnsi="Arial" w:cs="Arial" w:eastAsia="Arial"/>
      <w:b/>
      <w:bCs/>
      <w:color w:val="1D4E6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técnica y económica</dc:title>
  <dc:creator/>
  <dc:language>es</dc:language>
  <cp:keywords/>
  <dcterms:created xsi:type="dcterms:W3CDTF">2026-10-19T17:37:41Z</dcterms:created>
  <dcterms:modified xsi:type="dcterms:W3CDTF">2026-10-19T17:37:41Z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Servicio de Estudio de Clima Laboral 2026 – Empresa Portuaria Coquimbo · Compra Ágil ID 1317954-9-COT26</vt:lpwstr>
  </property>
</Properties>
</file>