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widowControl w:val="1"/>
        <w:spacing w:line="276" w:lineRule="auto"/>
        <w:jc w:val="center"/>
        <w:rPr>
          <w:b w:val="0"/>
          <w:bCs w:val="0"/>
          <w:sz w:val="40"/>
          <w:szCs w:val="40"/>
        </w:rPr>
      </w:pPr>
      <w:bookmarkStart w:colFirst="0" w:colLast="0" w:name="_eojons6hnyzj" w:id="0"/>
      <w:bookmarkEnd w:id="0"/>
      <w:r w:rsidDel="00000000" w:rsidR="00000000" w:rsidRPr="00000000">
        <w:rPr>
          <w:b w:val="0"/>
          <w:bCs w:val="0"/>
          <w:sz w:val="40"/>
          <w:szCs w:val="40"/>
        </w:rPr>
        <w:drawing>
          <wp:inline distB="114300" distT="114300" distL="114300" distR="114300">
            <wp:extent cx="4178138" cy="1789407"/>
            <wp:effectExtent b="0" l="0" r="0" t="0"/>
            <wp:docPr descr="Logotipo, nombre de la empresa&#10;&#10;Descripción generada automáticamente" id="1" name="image1.png"/>
            <a:graphic>
              <a:graphicData uri="http://schemas.openxmlformats.org/drawingml/2006/picture">
                <pic:pic>
                  <pic:nvPicPr>
                    <pic:cNvPr descr="Logotipo, nombre de la empresa&#10;&#10;Descripción generada automáticamente" id="0" name="image1.png"/>
                    <pic:cNvPicPr preferRelativeResize="0"/>
                  </pic:nvPicPr>
                  <pic:blipFill>
                    <a:blip r:embed="rId6"/>
                    <a:srcRect b="0" l="0" r="0" t="0"/>
                    <a:stretch>
                      <a:fillRect/>
                    </a:stretch>
                  </pic:blipFill>
                  <pic:spPr>
                    <a:xfrm>
                      <a:off x="0" y="0"/>
                      <a:ext cx="4178138" cy="17894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1"/>
        <w:keepLines w:val="1"/>
        <w:widowControl w:val="1"/>
        <w:spacing w:after="120" w:before="400" w:line="276" w:lineRule="auto"/>
        <w:jc w:val="center"/>
        <w:rPr>
          <w:b w:val="0"/>
          <w:bCs w:val="0"/>
          <w:sz w:val="40"/>
          <w:szCs w:val="40"/>
        </w:rPr>
      </w:pPr>
      <w:bookmarkStart w:colFirst="0" w:colLast="0" w:name="_pyyl8l4g6s3" w:id="1"/>
      <w:bookmarkEnd w:id="1"/>
      <w:r w:rsidDel="00000000" w:rsidR="00000000" w:rsidRPr="00000000">
        <w:rPr>
          <w:b w:val="0"/>
          <w:bCs w:val="0"/>
          <w:sz w:val="40"/>
          <w:szCs w:val="40"/>
          <w:rtl w:val="0"/>
        </w:rPr>
        <w:t xml:space="preserve">Ingenieria de requerimientos</w:t>
      </w:r>
    </w:p>
    <w:p w:rsidR="00000000" w:rsidDel="00000000" w:rsidP="00000000" w:rsidRDefault="00000000" w:rsidRPr="00000000" w14:paraId="00000003">
      <w:pPr>
        <w:pStyle w:val="Heading1"/>
        <w:keepNext w:val="1"/>
        <w:keepLines w:val="1"/>
        <w:widowControl w:val="1"/>
        <w:pBdr>
          <w:top w:color="auto" w:space="0" w:sz="0" w:val="none"/>
          <w:left w:color="auto" w:space="0" w:sz="0" w:val="none"/>
          <w:bottom w:color="auto" w:space="0" w:sz="0" w:val="none"/>
          <w:right w:color="auto" w:space="0" w:sz="0" w:val="none"/>
          <w:between w:color="auto" w:space="0" w:sz="0" w:val="none"/>
        </w:pBdr>
        <w:spacing w:after="0" w:before="0" w:line="276" w:lineRule="auto"/>
        <w:jc w:val="center"/>
        <w:rPr>
          <w:rFonts w:ascii="Times New Roman" w:cs="Times New Roman" w:eastAsia="Times New Roman" w:hAnsi="Times New Roman"/>
          <w:b w:val="0"/>
          <w:bCs w:val="0"/>
          <w:color w:val="262626"/>
          <w:sz w:val="45"/>
          <w:szCs w:val="45"/>
          <w:highlight w:val="white"/>
        </w:rPr>
      </w:pPr>
      <w:bookmarkStart w:colFirst="0" w:colLast="0" w:name="_z7wvhnf1xiim" w:id="2"/>
      <w:bookmarkEnd w:id="2"/>
      <w:r w:rsidDel="00000000" w:rsidR="00000000" w:rsidRPr="00000000">
        <w:rPr>
          <w:rFonts w:ascii="Times New Roman" w:cs="Times New Roman" w:eastAsia="Times New Roman" w:hAnsi="Times New Roman"/>
          <w:b w:val="0"/>
          <w:bCs w:val="0"/>
          <w:color w:val="262626"/>
          <w:sz w:val="45"/>
          <w:szCs w:val="45"/>
          <w:highlight w:val="white"/>
          <w:rtl w:val="0"/>
        </w:rPr>
        <w:t xml:space="preserve">Ejercitación obligatoria - Clase 11 - Diccionario, Glosario y Ontología</w:t>
      </w:r>
    </w:p>
    <w:p w:rsidR="00000000" w:rsidDel="00000000" w:rsidP="00000000" w:rsidRDefault="00000000" w:rsidRPr="00000000" w14:paraId="00000004">
      <w:pPr>
        <w:pStyle w:val="Heading1"/>
        <w:keepNext w:val="1"/>
        <w:keepLines w:val="1"/>
        <w:widowControl w:val="1"/>
        <w:spacing w:after="120" w:before="400" w:line="276" w:lineRule="auto"/>
        <w:jc w:val="center"/>
        <w:rPr>
          <w:b w:val="0"/>
          <w:bCs w:val="0"/>
          <w:sz w:val="40"/>
          <w:szCs w:val="40"/>
        </w:rPr>
      </w:pPr>
      <w:bookmarkStart w:colFirst="0" w:colLast="0" w:name="_ilgjwkp9ry7q" w:id="3"/>
      <w:bookmarkEnd w:id="3"/>
      <w:r w:rsidDel="00000000" w:rsidR="00000000" w:rsidRPr="00000000">
        <w:rPr>
          <w:rtl w:val="0"/>
        </w:rPr>
      </w:r>
    </w:p>
    <w:p w:rsidR="00000000" w:rsidDel="00000000" w:rsidP="00000000" w:rsidRDefault="00000000" w:rsidRPr="00000000" w14:paraId="00000005">
      <w:pPr>
        <w:pStyle w:val="Heading1"/>
        <w:keepNext w:val="1"/>
        <w:keepLines w:val="1"/>
        <w:widowControl w:val="1"/>
        <w:spacing w:after="120" w:before="400" w:line="276" w:lineRule="auto"/>
        <w:jc w:val="center"/>
        <w:rPr>
          <w:b w:val="0"/>
          <w:bCs w:val="0"/>
          <w:sz w:val="40"/>
          <w:szCs w:val="40"/>
        </w:rPr>
      </w:pPr>
      <w:bookmarkStart w:colFirst="0" w:colLast="0" w:name="_kqy4ypp0v6d1" w:id="4"/>
      <w:bookmarkEnd w:id="4"/>
      <w:r w:rsidDel="00000000" w:rsidR="00000000" w:rsidRPr="00000000">
        <w:rPr>
          <w:b w:val="0"/>
          <w:bCs w:val="0"/>
          <w:sz w:val="40"/>
          <w:szCs w:val="40"/>
          <w:rtl w:val="0"/>
        </w:rPr>
        <w:t xml:space="preserve">Nicolas Sepulveda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34"/>
          <w:szCs w:val="34"/>
        </w:rPr>
      </w:pPr>
      <w:bookmarkStart w:colFirst="0" w:colLast="0" w:name="_x5sykdcerz3g" w:id="5"/>
      <w:bookmarkEnd w:id="5"/>
      <w:r w:rsidDel="00000000" w:rsidR="00000000" w:rsidRPr="00000000">
        <w:rPr>
          <w:color w:val="1b1c1d"/>
          <w:sz w:val="34"/>
          <w:szCs w:val="34"/>
          <w:rtl w:val="0"/>
        </w:rPr>
        <w:t xml:space="preserve">Informe del TP: Uso del LEL en un Dominio Complicado</w:t>
      </w:r>
    </w:p>
    <w:p w:rsidR="00000000" w:rsidDel="00000000" w:rsidP="00000000" w:rsidRDefault="00000000" w:rsidRPr="00000000" w14:paraId="0000001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vn0yh47w5x7x" w:id="6"/>
      <w:bookmarkEnd w:id="6"/>
      <w:r w:rsidDel="00000000" w:rsidR="00000000" w:rsidRPr="00000000">
        <w:rPr>
          <w:color w:val="1b1c1d"/>
          <w:sz w:val="26"/>
          <w:szCs w:val="26"/>
          <w:rtl w:val="0"/>
        </w:rPr>
        <w:t xml:space="preserve">Introduccion: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Este informe se centra en la experiencia de usar el Léxico Extendido del Lenguaje (LEL) para la fase de Elicitación de Requerimientos en un proyecto real: el Sistema de Registración y Producción del Instituto de Hemoterapia de Buenos Aires.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El Instituto de Hemoterapia, que se encarga de la provisión de sangre, tiene un vocabulario súper técnico. Lo más complicado del caso fue que nosotros, como desarrolladores/analistas, teníamos muy poco conocimiento del lenguaje médico que usaban. El objetivo fue demostrar si el LEL servía para que gente </w:t>
      </w:r>
      <w:r w:rsidDel="00000000" w:rsidR="00000000" w:rsidRPr="00000000">
        <w:rPr>
          <w:i w:val="1"/>
          <w:iCs w:val="1"/>
          <w:color w:val="1b1c1d"/>
          <w:rtl w:val="0"/>
        </w:rPr>
        <w:t xml:space="preserve">de sistemas</w:t>
      </w:r>
      <w:r w:rsidDel="00000000" w:rsidR="00000000" w:rsidRPr="00000000">
        <w:rPr>
          <w:color w:val="1b1c1d"/>
          <w:rtl w:val="0"/>
        </w:rPr>
        <w:t xml:space="preserve"> pudiera entender un dominio tan especializado sin volverse hematólogos.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Básicamente, el LEL nos obligó a crear un diccionario súper detallado (el Léxico) donde no solo definíamos los términos, sino que también ampliamos la clasificación estándar (Sujeto, Objeto, Verbo) para meter cosas específicas como los Términos Específicos (TE) y los Métodos Específicos (ME), que son claves en ese dominio técnico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w:t>
      </w:r>
    </w:p>
    <w:p w:rsidR="00000000" w:rsidDel="00000000" w:rsidP="00000000" w:rsidRDefault="00000000" w:rsidRPr="00000000" w14:paraId="0000002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7loroweb8vbe" w:id="7"/>
      <w:bookmarkEnd w:id="7"/>
      <w:r w:rsidDel="00000000" w:rsidR="00000000" w:rsidRPr="00000000">
        <w:rPr>
          <w:color w:val="1b1c1d"/>
          <w:sz w:val="26"/>
          <w:szCs w:val="26"/>
          <w:rtl w:val="0"/>
        </w:rPr>
        <w:t xml:space="preserve">Ejemplos Clave de Símbolos del LEL Aplicados al Caso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El LEL funciona clasificando cada término del negocio. Cada "símbolo" tiene una Noción (qué es internamente) y un Impacto (qué hace o qué acciones recibe de otros símbolos).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Aquí vemos un ejemplo de cada una de las categorías principales (Sujeto, Objeto, Verbo) y un ejemplo del tipo especial (Término Específico) que se tuvo que crear para este caso: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4700315457414"/>
        <w:gridCol w:w="1948.769716088328"/>
        <w:gridCol w:w="1830.6624605678232"/>
        <w:gridCol w:w="2199.7476340694006"/>
        <w:gridCol w:w="2037.3501577287066"/>
        <w:tblGridChange w:id="0">
          <w:tblGrid>
            <w:gridCol w:w="1343.4700315457414"/>
            <w:gridCol w:w="1948.769716088328"/>
            <w:gridCol w:w="1830.6624605678232"/>
            <w:gridCol w:w="2199.7476340694006"/>
            <w:gridCol w:w="2037.3501577287066"/>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color w:val="1b1c1d"/>
              </w:rPr>
            </w:pPr>
            <w:r w:rsidDel="00000000" w:rsidR="00000000" w:rsidRPr="00000000">
              <w:rPr>
                <w:b w:val="1"/>
                <w:bCs w:val="1"/>
                <w:color w:val="1b1c1d"/>
                <w:rtl w:val="0"/>
              </w:rPr>
              <w:t xml:space="preserve">Tipo de Símbolo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color w:val="1b1c1d"/>
              </w:rPr>
            </w:pPr>
            <w:r w:rsidDel="00000000" w:rsidR="00000000" w:rsidRPr="00000000">
              <w:rPr>
                <w:b w:val="1"/>
                <w:bCs w:val="1"/>
                <w:color w:val="1b1c1d"/>
                <w:rtl w:val="0"/>
              </w:rPr>
              <w:t xml:space="preserve">Símbolo (Ejemplo)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color w:val="1b1c1d"/>
              </w:rPr>
            </w:pPr>
            <w:r w:rsidDel="00000000" w:rsidR="00000000" w:rsidRPr="00000000">
              <w:rPr>
                <w:b w:val="1"/>
                <w:bCs w:val="1"/>
                <w:color w:val="1b1c1d"/>
                <w:rtl w:val="0"/>
              </w:rPr>
              <w:t xml:space="preserve">Clasificación Específica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color w:val="1b1c1d"/>
              </w:rPr>
            </w:pPr>
            <w:r w:rsidDel="00000000" w:rsidR="00000000" w:rsidRPr="00000000">
              <w:rPr>
                <w:b w:val="1"/>
                <w:bCs w:val="1"/>
                <w:color w:val="1b1c1d"/>
                <w:rtl w:val="0"/>
              </w:rPr>
              <w:t xml:space="preserve">Noción (¿Quién/Qué 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color w:val="1b1c1d"/>
              </w:rPr>
            </w:pPr>
            <w:r w:rsidDel="00000000" w:rsidR="00000000" w:rsidRPr="00000000">
              <w:rPr>
                <w:b w:val="1"/>
                <w:bCs w:val="1"/>
                <w:color w:val="1b1c1d"/>
                <w:rtl w:val="0"/>
              </w:rPr>
              <w:t xml:space="preserve">Impacto (¿Qué hace/recibe?)</w:t>
            </w:r>
            <w:r w:rsidDel="00000000" w:rsidR="00000000" w:rsidRPr="00000000">
              <w:rPr>
                <w:rtl w:val="0"/>
              </w:rPr>
            </w:r>
          </w:p>
        </w:tc>
      </w:tr>
      <w:tr>
        <w:trPr>
          <w:cantSplit w:val="0"/>
          <w:trHeight w:val="35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b1c1d"/>
              </w:rPr>
            </w:pPr>
            <w:r w:rsidDel="00000000" w:rsidR="00000000" w:rsidRPr="00000000">
              <w:rPr>
                <w:b w:val="1"/>
                <w:bCs w:val="1"/>
                <w:color w:val="1b1c1d"/>
                <w:rtl w:val="0"/>
              </w:rPr>
              <w:t xml:space="preserve">Sujeto</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b1c1d"/>
              </w:rPr>
            </w:pPr>
            <w:r w:rsidDel="00000000" w:rsidR="00000000" w:rsidRPr="00000000">
              <w:rPr>
                <w:b w:val="1"/>
                <w:bCs w:val="1"/>
                <w:color w:val="1b1c1d"/>
                <w:rtl w:val="0"/>
              </w:rPr>
              <w:t xml:space="preserve">MÉDICO</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Persona (P)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El médico especialista en hematología. Es quien administra y tiene control sobre el personal de cada sector.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Hace la encuesta de salud al donante en el consultorio. Pone su firma en la ficha de donación para autorizar. Se encarga de supervisar los equipos.</w:t>
            </w:r>
          </w:p>
        </w:tc>
      </w:tr>
      <w:tr>
        <w:trPr>
          <w:cantSplit w:val="0"/>
          <w:trHeight w:val="38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b1c1d"/>
              </w:rPr>
            </w:pPr>
            <w:r w:rsidDel="00000000" w:rsidR="00000000" w:rsidRPr="00000000">
              <w:rPr>
                <w:b w:val="1"/>
                <w:bCs w:val="1"/>
                <w:color w:val="1b1c1d"/>
                <w:rtl w:val="0"/>
              </w:rPr>
              <w:t xml:space="preserve">Objeto</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b1c1d"/>
              </w:rPr>
            </w:pPr>
            <w:r w:rsidDel="00000000" w:rsidR="00000000" w:rsidRPr="00000000">
              <w:rPr>
                <w:b w:val="1"/>
                <w:bCs w:val="1"/>
                <w:color w:val="1b1c1d"/>
                <w:rtl w:val="0"/>
              </w:rPr>
              <w:t xml:space="preserve">FICHA DE DONACIÓN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Formulario (F)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Es el papel que el donante tiene que llenar obligatoriamente. Se usa para que el médico decida si el donante puede seguir adelante.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El sector de Recepción lo completa con los datos personales. El médico lo firma en el consultorio. Un técnico lo completa con los signos clínicos en Hemodonación.</w:t>
            </w:r>
          </w:p>
        </w:tc>
      </w:tr>
      <w:tr>
        <w:trPr>
          <w:cantSplit w:val="0"/>
          <w:trHeight w:val="38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b1c1d"/>
              </w:rPr>
            </w:pPr>
            <w:r w:rsidDel="00000000" w:rsidR="00000000" w:rsidRPr="00000000">
              <w:rPr>
                <w:b w:val="1"/>
                <w:bCs w:val="1"/>
                <w:color w:val="1b1c1d"/>
                <w:rtl w:val="0"/>
              </w:rPr>
              <w:t xml:space="preserve">Verbo</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b1c1d"/>
              </w:rPr>
            </w:pPr>
            <w:r w:rsidDel="00000000" w:rsidR="00000000" w:rsidRPr="00000000">
              <w:rPr>
                <w:b w:val="1"/>
                <w:bCs w:val="1"/>
                <w:color w:val="1b1c1d"/>
                <w:rtl w:val="0"/>
              </w:rPr>
              <w:t xml:space="preserve">DESCARTE DE EXTRACCIÓN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Acción (A)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La acción de evitar que un donante, que no cumpla con los requisitos clínicos o prácticos, pueda realizar la donación de sangre. Se ejecuta en la Sala de Hemodonación.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Genera un descarte temporal del donante. Se registra el motivo de descarte en la ficha de donación.</w:t>
            </w:r>
          </w:p>
        </w:tc>
      </w:tr>
      <w:tr>
        <w:trPr>
          <w:cantSplit w:val="0"/>
          <w:trHeight w:val="30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b1c1d"/>
              </w:rPr>
            </w:pPr>
            <w:r w:rsidDel="00000000" w:rsidR="00000000" w:rsidRPr="00000000">
              <w:rPr>
                <w:b w:val="1"/>
                <w:bCs w:val="1"/>
                <w:color w:val="1b1c1d"/>
                <w:rtl w:val="0"/>
              </w:rPr>
              <w:t xml:space="preserve">Objeto Especial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b1c1d"/>
              </w:rPr>
            </w:pPr>
            <w:r w:rsidDel="00000000" w:rsidR="00000000" w:rsidRPr="00000000">
              <w:rPr>
                <w:b w:val="1"/>
                <w:bCs w:val="1"/>
                <w:color w:val="1b1c1d"/>
                <w:rtl w:val="0"/>
              </w:rPr>
              <w:t xml:space="preserve">SEROLOGÍA POSITIVA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Término Específico (TE)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Un resultado reactivo en alguno de los estudios de patologías que hace el Laboratorio de Inmunoserología.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276" w:lineRule="auto"/>
              <w:rPr>
                <w:color w:val="1b1c1d"/>
              </w:rPr>
            </w:pPr>
            <w:r w:rsidDel="00000000" w:rsidR="00000000" w:rsidRPr="00000000">
              <w:rPr>
                <w:color w:val="1b1c1d"/>
                <w:rtl w:val="0"/>
              </w:rPr>
              <w:t xml:space="preserve">Es la razón directa para descartar el producto de la donación. Causa un descarte (temporal o definitivo) del donante.</w:t>
            </w:r>
          </w:p>
        </w:tc>
      </w:tr>
      <w:tr>
        <w:trPr>
          <w:cantSplit w:val="0"/>
          <w:trHeight w:val="247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b1c1d"/>
              </w:rPr>
            </w:pPr>
            <w:r w:rsidDel="00000000" w:rsidR="00000000" w:rsidRPr="00000000">
              <w:rPr>
                <w:b w:val="1"/>
                <w:bCs w:val="1"/>
                <w:color w:val="1b1c1d"/>
                <w:rtl w:val="0"/>
              </w:rPr>
              <w:t xml:space="preserve">Estado</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color w:val="1b1c1d"/>
              </w:rPr>
            </w:pPr>
            <w:r w:rsidDel="00000000" w:rsidR="00000000" w:rsidRPr="00000000">
              <w:rPr>
                <w:color w:val="1b1c1d"/>
                <w:rtl w:val="0"/>
              </w:rPr>
              <w:t xml:space="preserve">$$No fue necesario usarlo en este caso$$</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276" w:lineRule="auto"/>
              <w:rPr>
                <w:i w:val="1"/>
                <w:iCs w:val="1"/>
                <w:color w:val="1b1c1d"/>
              </w:rPr>
            </w:pPr>
            <w:r w:rsidDel="00000000" w:rsidR="00000000" w:rsidRPr="00000000">
              <w:rPr>
                <w:i w:val="1"/>
                <w:iCs w:val="1"/>
                <w:color w:val="1b1c1d"/>
                <w:rtl w:val="0"/>
              </w:rPr>
              <w:t xml:space="preserve">General (E)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276" w:lineRule="auto"/>
              <w:rPr>
                <w:i w:val="1"/>
                <w:iCs w:val="1"/>
                <w:color w:val="1b1c1d"/>
              </w:rPr>
            </w:pPr>
            <w:r w:rsidDel="00000000" w:rsidR="00000000" w:rsidRPr="00000000">
              <w:rPr>
                <w:i w:val="1"/>
                <w:iCs w:val="1"/>
                <w:color w:val="1b1c1d"/>
                <w:rtl w:val="0"/>
              </w:rPr>
              <w:t xml:space="preserve">Representa la situación en la que está un objeto. (Ej: Donación Lista para Fraccionar).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276" w:lineRule="auto"/>
              <w:rPr>
                <w:i w:val="1"/>
                <w:iCs w:val="1"/>
                <w:color w:val="1b1c1d"/>
              </w:rPr>
            </w:pPr>
            <w:r w:rsidDel="00000000" w:rsidR="00000000" w:rsidRPr="00000000">
              <w:rPr>
                <w:i w:val="1"/>
                <w:iCs w:val="1"/>
                <w:color w:val="1b1c1d"/>
                <w:rtl w:val="0"/>
              </w:rPr>
              <w:t xml:space="preserve">Qué transiciones se pueden hacer desde ese estado. (Ej: Pasa de 'En Prueba' a 'Aprobado').</w:t>
            </w:r>
          </w:p>
        </w:tc>
      </w:tr>
    </w:tbl>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276" w:lineRule="auto"/>
        <w:rPr>
          <w:color w:val="1b1c1d"/>
        </w:rPr>
      </w:pPr>
      <w:r w:rsidDel="00000000" w:rsidR="00000000" w:rsidRPr="00000000">
        <w:rPr>
          <w:color w:val="1b1c1d"/>
          <w:rtl w:val="0"/>
        </w:rPr>
        <w:t xml:space="preserve">Aclaración: El LEL original tiene la categoría Estado, pero este estudio de caso no la necesitó para modelar el dominio de la Hemoterapia.</w:t>
      </w:r>
    </w:p>
    <w:p w:rsidR="00000000" w:rsidDel="00000000" w:rsidP="00000000" w:rsidRDefault="00000000" w:rsidRPr="00000000" w14:paraId="0000004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b1c1d"/>
          <w:sz w:val="26"/>
          <w:szCs w:val="26"/>
        </w:rPr>
      </w:pPr>
      <w:bookmarkStart w:colFirst="0" w:colLast="0" w:name="_pwvzg1t0dsxi" w:id="8"/>
      <w:bookmarkEnd w:id="8"/>
      <w:r w:rsidDel="00000000" w:rsidR="00000000" w:rsidRPr="00000000">
        <w:rPr>
          <w:color w:val="1b1c1d"/>
          <w:sz w:val="26"/>
          <w:szCs w:val="26"/>
          <w:rtl w:val="0"/>
        </w:rPr>
        <w:t xml:space="preserve">Conclusiones: Lecciones Aprendidas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20" w:line="276" w:lineRule="auto"/>
        <w:rPr>
          <w:color w:val="1b1c1d"/>
        </w:rPr>
      </w:pPr>
      <w:r w:rsidDel="00000000" w:rsidR="00000000" w:rsidRPr="00000000">
        <w:rPr>
          <w:color w:val="1b1c1d"/>
          <w:rtl w:val="0"/>
        </w:rPr>
        <w:t xml:space="preserve">Esta experiencia de campo me dejó varias conclusiones importantes sobre el LEL:</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b w:val="1"/>
          <w:bCs w:val="1"/>
          <w:color w:val="1b1c1d"/>
          <w:rtl w:val="0"/>
        </w:rPr>
        <w:t xml:space="preserve">Sí se puede en Dominios Técnicos:</w:t>
      </w:r>
      <w:r w:rsidDel="00000000" w:rsidR="00000000" w:rsidRPr="00000000">
        <w:rPr>
          <w:color w:val="1b1c1d"/>
          <w:rtl w:val="0"/>
        </w:rPr>
        <w:t xml:space="preserve"> La mayor lección es que el LEL funciona incluso en un dominio tan </w:t>
      </w:r>
      <w:r w:rsidDel="00000000" w:rsidR="00000000" w:rsidRPr="00000000">
        <w:rPr>
          <w:i w:val="1"/>
          <w:iCs w:val="1"/>
          <w:color w:val="1b1c1d"/>
          <w:rtl w:val="0"/>
        </w:rPr>
        <w:t xml:space="preserve">geek</w:t>
      </w:r>
      <w:r w:rsidDel="00000000" w:rsidR="00000000" w:rsidRPr="00000000">
        <w:rPr>
          <w:color w:val="1b1c1d"/>
          <w:rtl w:val="0"/>
        </w:rPr>
        <w:t xml:space="preserve"> y ajeno como la medicina. La clave fue ser flexibles y extender la clasificación estándar para poder incluir los </w:t>
      </w:r>
      <w:r w:rsidDel="00000000" w:rsidR="00000000" w:rsidRPr="00000000">
        <w:rPr>
          <w:b w:val="1"/>
          <w:bCs w:val="1"/>
          <w:color w:val="1b1c1d"/>
          <w:rtl w:val="0"/>
        </w:rPr>
        <w:t xml:space="preserve">Términos Específicos (TE)</w:t>
      </w:r>
      <w:r w:rsidDel="00000000" w:rsidR="00000000" w:rsidRPr="00000000">
        <w:rPr>
          <w:color w:val="1b1c1d"/>
          <w:rtl w:val="0"/>
        </w:rPr>
        <w:t xml:space="preserve"> y </w:t>
      </w:r>
      <w:r w:rsidDel="00000000" w:rsidR="00000000" w:rsidRPr="00000000">
        <w:rPr>
          <w:b w:val="1"/>
          <w:bCs w:val="1"/>
          <w:color w:val="1b1c1d"/>
          <w:rtl w:val="0"/>
        </w:rPr>
        <w:t xml:space="preserve">Métodos Específicos (ME)</w:t>
      </w:r>
      <w:r w:rsidDel="00000000" w:rsidR="00000000" w:rsidRPr="00000000">
        <w:rPr>
          <w:color w:val="1b1c1d"/>
          <w:rtl w:val="0"/>
        </w:rPr>
        <w:t xml:space="preserve">, términos que eran la base del lenguaje del usuario</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line="276" w:lineRule="auto"/>
        <w:ind w:left="720" w:firstLine="0"/>
        <w:rPr>
          <w:color w:val="1b1c1d"/>
        </w:rPr>
      </w:pPr>
      <w:r w:rsidDel="00000000" w:rsidR="00000000" w:rsidRPr="00000000">
        <w:rPr>
          <w:rtl w:val="0"/>
        </w:rPr>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b w:val="1"/>
          <w:bCs w:val="1"/>
          <w:color w:val="1b1c1d"/>
          <w:rtl w:val="0"/>
        </w:rPr>
        <w:t xml:space="preserve">La Comunicación Mejora Muchísimo:</w:t>
      </w:r>
      <w:r w:rsidDel="00000000" w:rsidR="00000000" w:rsidRPr="00000000">
        <w:rPr>
          <w:color w:val="1b1c1d"/>
          <w:rtl w:val="0"/>
        </w:rPr>
        <w:t xml:space="preserve"> Al obligarnos a definir y usar el vocabulario del usuario (el LEL), la comunicación mejoró un montón. El usuario sentía que los analistas realmente entendían su negocio, lo que nos ayudó a evitar errores graves y a que el cliente se sintiera más cómodo participando desde el principio</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line="276" w:lineRule="auto"/>
        <w:ind w:left="720" w:firstLine="0"/>
        <w:rPr>
          <w:color w:val="1b1c1d"/>
        </w:rPr>
      </w:pPr>
      <w:r w:rsidDel="00000000" w:rsidR="00000000" w:rsidRPr="00000000">
        <w:rPr>
          <w:rtl w:val="0"/>
        </w:rPr>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b w:val="1"/>
          <w:bCs w:val="1"/>
          <w:color w:val="1b1c1d"/>
          <w:rtl w:val="0"/>
        </w:rPr>
        <w:t xml:space="preserve">El Proceso es Flexible:</w:t>
      </w:r>
      <w:r w:rsidDel="00000000" w:rsidR="00000000" w:rsidRPr="00000000">
        <w:rPr>
          <w:color w:val="1b1c1d"/>
          <w:rtl w:val="0"/>
        </w:rPr>
        <w:t xml:space="preserve"> Aunque el modelo de construcción del LEL tiene varias etapas (Entrevistas, Generación de Símbolos, Clasificación, etc.), en la práctica no son pasos aislados. Vimos que las primeras etapas se mezclaban mucho, lo que terminó sugiriendo un proceso con menos pasos, pero con mucha más interacción entre ellos, sobre todo por la dificultad del lenguaje técnico</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line="276" w:lineRule="auto"/>
        <w:ind w:left="720" w:firstLine="0"/>
        <w:rPr>
          <w:color w:val="1b1c1d"/>
        </w:rPr>
      </w:pPr>
      <w:r w:rsidDel="00000000" w:rsidR="00000000" w:rsidRPr="00000000">
        <w:rPr>
          <w:rtl w:val="0"/>
        </w:rPr>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b w:val="1"/>
          <w:bCs w:val="1"/>
          <w:color w:val="1b1c1d"/>
          <w:rtl w:val="0"/>
        </w:rPr>
        <w:t xml:space="preserve">Los </w:t>
      </w:r>
      <w:r w:rsidDel="00000000" w:rsidR="00000000" w:rsidRPr="00000000">
        <w:rPr>
          <w:b w:val="1"/>
          <w:bCs w:val="1"/>
          <w:i w:val="1"/>
          <w:iCs w:val="1"/>
          <w:color w:val="1b1c1d"/>
          <w:rtl w:val="0"/>
        </w:rPr>
        <w:t xml:space="preserve">Templates</w:t>
      </w:r>
      <w:r w:rsidDel="00000000" w:rsidR="00000000" w:rsidRPr="00000000">
        <w:rPr>
          <w:b w:val="1"/>
          <w:bCs w:val="1"/>
          <w:color w:val="1b1c1d"/>
          <w:rtl w:val="0"/>
        </w:rPr>
        <w:t xml:space="preserve"> son Salvadores:</w:t>
      </w:r>
      <w:r w:rsidDel="00000000" w:rsidR="00000000" w:rsidRPr="00000000">
        <w:rPr>
          <w:color w:val="1b1c1d"/>
          <w:rtl w:val="0"/>
        </w:rPr>
        <w:t xml:space="preserve"> Usar plantillas (</w:t>
      </w:r>
      <w:r w:rsidDel="00000000" w:rsidR="00000000" w:rsidRPr="00000000">
        <w:rPr>
          <w:i w:val="1"/>
          <w:iCs w:val="1"/>
          <w:color w:val="1b1c1d"/>
          <w:rtl w:val="0"/>
        </w:rPr>
        <w:t xml:space="preserve">templates</w:t>
      </w:r>
      <w:r w:rsidDel="00000000" w:rsidR="00000000" w:rsidRPr="00000000">
        <w:rPr>
          <w:color w:val="1b1c1d"/>
          <w:rtl w:val="0"/>
        </w:rPr>
        <w:t xml:space="preserve">) específicas para cada tipo de símbolo (p. ej., un </w:t>
      </w:r>
      <w:r w:rsidDel="00000000" w:rsidR="00000000" w:rsidRPr="00000000">
        <w:rPr>
          <w:i w:val="1"/>
          <w:iCs w:val="1"/>
          <w:color w:val="1b1c1d"/>
          <w:rtl w:val="0"/>
        </w:rPr>
        <w:t xml:space="preserve">template</w:t>
      </w:r>
      <w:r w:rsidDel="00000000" w:rsidR="00000000" w:rsidRPr="00000000">
        <w:rPr>
          <w:color w:val="1b1c1d"/>
          <w:rtl w:val="0"/>
        </w:rPr>
        <w:t xml:space="preserve"> para Personas, otro para Formularios) fue fundamental. Esto nos ayudó a ser homogéneos y consistentes al describir los 51 símbolos que generamos, facilitando el control y la revisión del Léxico final</w:t>
      </w:r>
    </w:p>
    <w:p w:rsidR="00000000" w:rsidDel="00000000" w:rsidP="00000000" w:rsidRDefault="00000000" w:rsidRPr="00000000" w14:paraId="00000053">
      <w:pPr>
        <w:pStyle w:val="Heading1"/>
        <w:pBdr>
          <w:top w:color="auto" w:space="0" w:sz="0" w:val="none"/>
          <w:bottom w:color="auto" w:space="0" w:sz="0" w:val="none"/>
          <w:right w:color="auto" w:space="0" w:sz="0" w:val="none"/>
          <w:between w:color="auto" w:space="0" w:sz="0" w:val="none"/>
        </w:pBdr>
        <w:spacing w:after="240" w:line="276" w:lineRule="auto"/>
        <w:ind w:left="720" w:firstLine="0"/>
        <w:rPr/>
      </w:pPr>
      <w:bookmarkStart w:colFirst="0" w:colLast="0" w:name="_gtp8ylzc03fj" w:id="9"/>
      <w:bookmarkEnd w:id="9"/>
      <w:r w:rsidDel="00000000" w:rsidR="00000000" w:rsidRPr="00000000">
        <w:rPr>
          <w:rtl w:val="0"/>
        </w:rPr>
        <w:t xml:space="preserve">Parte 2</w:t>
      </w:r>
      <w:r w:rsidDel="00000000" w:rsidR="00000000" w:rsidRPr="00000000">
        <w:rPr>
          <w:rtl w:val="0"/>
        </w:rPr>
      </w:r>
    </w:p>
    <w:p w:rsidR="00000000" w:rsidDel="00000000" w:rsidP="00000000" w:rsidRDefault="00000000" w:rsidRPr="00000000" w14:paraId="00000054">
      <w:pPr>
        <w:pStyle w:val="Heading2"/>
        <w:spacing w:after="80" w:before="360" w:lineRule="auto"/>
        <w:rPr>
          <w:sz w:val="34"/>
          <w:szCs w:val="34"/>
        </w:rPr>
      </w:pPr>
      <w:bookmarkStart w:colFirst="0" w:colLast="0" w:name="_eyey16evyvk2" w:id="10"/>
      <w:bookmarkEnd w:id="10"/>
      <w:r w:rsidDel="00000000" w:rsidR="00000000" w:rsidRPr="00000000">
        <w:rPr>
          <w:sz w:val="34"/>
          <w:szCs w:val="34"/>
          <w:rtl w:val="0"/>
        </w:rPr>
        <w:t xml:space="preserve">Título del Documento</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L.A.Z: un lenguaje específico del dominio para la generación automática de sitios web de instituciones escolares</w:t>
      </w:r>
    </w:p>
    <w:p w:rsidR="00000000" w:rsidDel="00000000" w:rsidP="00000000" w:rsidRDefault="00000000" w:rsidRPr="00000000" w14:paraId="00000056">
      <w:pPr>
        <w:pStyle w:val="Heading2"/>
        <w:spacing w:after="80" w:before="360" w:lineRule="auto"/>
        <w:rPr>
          <w:sz w:val="34"/>
          <w:szCs w:val="34"/>
        </w:rPr>
      </w:pPr>
      <w:bookmarkStart w:colFirst="0" w:colLast="0" w:name="_yseq74gg7bap" w:id="11"/>
      <w:bookmarkEnd w:id="11"/>
      <w:r w:rsidDel="00000000" w:rsidR="00000000" w:rsidRPr="00000000">
        <w:rPr>
          <w:sz w:val="34"/>
          <w:szCs w:val="34"/>
          <w:rtl w:val="0"/>
        </w:rPr>
        <w:t xml:space="preserve">Fuente Académica</w:t>
      </w:r>
    </w:p>
    <w:p w:rsidR="00000000" w:rsidDel="00000000" w:rsidP="00000000" w:rsidRDefault="00000000" w:rsidRPr="00000000" w14:paraId="00000057">
      <w:pPr>
        <w:spacing w:after="240" w:before="240" w:lineRule="auto"/>
        <w:rPr/>
      </w:pPr>
      <w:r w:rsidDel="00000000" w:rsidR="00000000" w:rsidRPr="00000000">
        <w:rPr>
          <w:rtl w:val="0"/>
        </w:rPr>
        <w:t xml:space="preserve">XXVIII Congreso Argentino de Ciencias de la Computación (CACIC 2022)</w:t>
      </w:r>
    </w:p>
    <w:p w:rsidR="00000000" w:rsidDel="00000000" w:rsidP="00000000" w:rsidRDefault="00000000" w:rsidRPr="00000000" w14:paraId="00000058">
      <w:pPr>
        <w:pStyle w:val="Heading2"/>
        <w:spacing w:after="80" w:before="360" w:lineRule="auto"/>
        <w:rPr>
          <w:sz w:val="34"/>
          <w:szCs w:val="34"/>
        </w:rPr>
      </w:pPr>
      <w:bookmarkStart w:colFirst="0" w:colLast="0" w:name="_tnd0n7wv8axm" w:id="12"/>
      <w:bookmarkEnd w:id="12"/>
      <w:r w:rsidDel="00000000" w:rsidR="00000000" w:rsidRPr="00000000">
        <w:rPr>
          <w:sz w:val="34"/>
          <w:szCs w:val="34"/>
          <w:rtl w:val="0"/>
        </w:rPr>
        <w:t xml:space="preserve">Enlace Directo</w:t>
      </w:r>
    </w:p>
    <w:p w:rsidR="00000000" w:rsidDel="00000000" w:rsidP="00000000" w:rsidRDefault="00000000" w:rsidRPr="00000000" w14:paraId="00000059">
      <w:pPr>
        <w:spacing w:after="240" w:before="240" w:lineRule="auto"/>
        <w:rPr>
          <w:color w:val="1155cc"/>
          <w:u w:val="single"/>
        </w:rPr>
      </w:pPr>
      <w:hyperlink r:id="rId7">
        <w:r w:rsidDel="00000000" w:rsidR="00000000" w:rsidRPr="00000000">
          <w:rPr>
            <w:color w:val="1155cc"/>
            <w:u w:val="single"/>
            <w:rtl w:val="0"/>
          </w:rPr>
          <w:t xml:space="preserve">http://sedici.unlp.edu.ar/handle/10915/149579</w:t>
        </w:r>
      </w:hyperlink>
      <w:r w:rsidDel="00000000" w:rsidR="00000000" w:rsidRPr="00000000">
        <w:rPr>
          <w:rtl w:val="0"/>
        </w:rPr>
      </w:r>
    </w:p>
    <w:p w:rsidR="00000000" w:rsidDel="00000000" w:rsidP="00000000" w:rsidRDefault="00000000" w:rsidRPr="00000000" w14:paraId="0000005A">
      <w:pPr>
        <w:pStyle w:val="Heading2"/>
        <w:spacing w:after="80" w:before="360" w:lineRule="auto"/>
        <w:rPr>
          <w:sz w:val="34"/>
          <w:szCs w:val="34"/>
        </w:rPr>
      </w:pPr>
      <w:bookmarkStart w:colFirst="0" w:colLast="0" w:name="_iuhdgklyit42" w:id="13"/>
      <w:bookmarkEnd w:id="13"/>
      <w:r w:rsidDel="00000000" w:rsidR="00000000" w:rsidRPr="00000000">
        <w:rPr>
          <w:sz w:val="34"/>
          <w:szCs w:val="34"/>
          <w:rtl w:val="0"/>
        </w:rPr>
        <w:t xml:space="preserve">Descripción del Caso de Estudio</w:t>
      </w:r>
    </w:p>
    <w:p w:rsidR="00000000" w:rsidDel="00000000" w:rsidP="00000000" w:rsidRDefault="00000000" w:rsidRPr="00000000" w14:paraId="0000005B">
      <w:pPr>
        <w:spacing w:after="240" w:before="240" w:lineRule="auto"/>
        <w:rPr/>
      </w:pPr>
      <w:r w:rsidDel="00000000" w:rsidR="00000000" w:rsidRPr="00000000">
        <w:rPr>
          <w:rtl w:val="0"/>
        </w:rPr>
        <w:t xml:space="preserve">Este trabajo presenta el desarrollo e implementación de </w:t>
      </w:r>
      <w:r w:rsidDel="00000000" w:rsidR="00000000" w:rsidRPr="00000000">
        <w:rPr>
          <w:b w:val="1"/>
          <w:bCs w:val="1"/>
          <w:rtl w:val="0"/>
        </w:rPr>
        <w:t xml:space="preserve">L.A.Z</w:t>
      </w:r>
      <w:r w:rsidDel="00000000" w:rsidR="00000000" w:rsidRPr="00000000">
        <w:rPr>
          <w:rtl w:val="0"/>
        </w:rPr>
        <w:t xml:space="preserve">, un Lenguaje Específico del Dominio (LEL) diseñado para facilitar la creación, gestión y actualización de sitios web de instituciones educativas.</w:t>
      </w:r>
    </w:p>
    <w:p w:rsidR="00000000" w:rsidDel="00000000" w:rsidP="00000000" w:rsidRDefault="00000000" w:rsidRPr="00000000" w14:paraId="0000005C">
      <w:pPr>
        <w:pStyle w:val="Heading3"/>
        <w:spacing w:after="80" w:before="280" w:lineRule="auto"/>
        <w:rPr>
          <w:sz w:val="26"/>
          <w:szCs w:val="26"/>
        </w:rPr>
      </w:pPr>
      <w:bookmarkStart w:colFirst="0" w:colLast="0" w:name="_q5n1q73h5noq" w:id="14"/>
      <w:bookmarkEnd w:id="14"/>
      <w:r w:rsidDel="00000000" w:rsidR="00000000" w:rsidRPr="00000000">
        <w:rPr>
          <w:sz w:val="26"/>
          <w:szCs w:val="26"/>
          <w:rtl w:val="0"/>
        </w:rPr>
        <w:t xml:space="preserve">Aplicación</w:t>
      </w:r>
    </w:p>
    <w:p w:rsidR="00000000" w:rsidDel="00000000" w:rsidP="00000000" w:rsidRDefault="00000000" w:rsidRPr="00000000" w14:paraId="0000005D">
      <w:pPr>
        <w:rPr/>
      </w:pPr>
      <w:r w:rsidDel="00000000" w:rsidR="00000000" w:rsidRPr="00000000">
        <w:rPr>
          <w:rtl w:val="0"/>
        </w:rPr>
        <w:t xml:space="preserve">El LEL se utiliza para modelar los requisitos y contenidos de un portal escolar (por ejemplo, secciones de noticias, información de contacto, horarios, galerías) de una manera de alto nivel y más accesible.</w:t>
      </w:r>
    </w:p>
    <w:p w:rsidR="00000000" w:rsidDel="00000000" w:rsidP="00000000" w:rsidRDefault="00000000" w:rsidRPr="00000000" w14:paraId="0000005E">
      <w:pPr>
        <w:pStyle w:val="Heading3"/>
        <w:spacing w:after="80" w:before="280" w:lineRule="auto"/>
        <w:rPr>
          <w:sz w:val="26"/>
          <w:szCs w:val="26"/>
        </w:rPr>
      </w:pPr>
      <w:bookmarkStart w:colFirst="0" w:colLast="0" w:name="_6es0upwosclq" w:id="15"/>
      <w:bookmarkEnd w:id="15"/>
      <w:r w:rsidDel="00000000" w:rsidR="00000000" w:rsidRPr="00000000">
        <w:rPr>
          <w:sz w:val="26"/>
          <w:szCs w:val="26"/>
          <w:rtl w:val="0"/>
        </w:rPr>
        <w:t xml:space="preserve">Beneficios y Uso</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bCs w:val="1"/>
          <w:rtl w:val="0"/>
        </w:rPr>
        <w:t xml:space="preserve">Simplificación:</w:t>
      </w:r>
      <w:r w:rsidDel="00000000" w:rsidR="00000000" w:rsidRPr="00000000">
        <w:rPr>
          <w:rtl w:val="0"/>
        </w:rPr>
        <w:t xml:space="preserve"> Permite a los usuarios finales (como directivos o personal administrativo sin conocimientos de programación) describir la estructura del sitio utilizando términos y conceptos propios del dominio educativo, en lugar de código (como HTML, CSS o JavaScript).</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b w:val="1"/>
          <w:bCs w:val="1"/>
          <w:rtl w:val="0"/>
        </w:rPr>
        <w:t xml:space="preserve">Automatización:</w:t>
      </w:r>
      <w:r w:rsidDel="00000000" w:rsidR="00000000" w:rsidRPr="00000000">
        <w:rPr>
          <w:rtl w:val="0"/>
        </w:rPr>
        <w:t xml:space="preserve"> El lenguaje L.A.Z actúa como un modelo que, a través de herramientas de Model-Driven Engineering (MDE), genera automáticamente el código fuente del sitio web funcional.</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b w:val="1"/>
          <w:bCs w:val="1"/>
          <w:rtl w:val="0"/>
        </w:rPr>
        <w:t xml:space="preserve">Contexto:</w:t>
      </w:r>
      <w:r w:rsidDel="00000000" w:rsidR="00000000" w:rsidRPr="00000000">
        <w:rPr>
          <w:rtl w:val="0"/>
        </w:rPr>
        <w:t xml:space="preserve"> El caso de estudio ilustra cómo los LEL pueden ser utilizados para cerrar la brecha entre los expertos en el dominio (las escuelas) y los desarrolladores de software, aumentando la productividad y reduciendo los errores.</w:t>
      </w:r>
    </w:p>
    <w:p w:rsidR="00000000" w:rsidDel="00000000" w:rsidP="00000000" w:rsidRDefault="00000000" w:rsidRPr="00000000" w14:paraId="00000062">
      <w:pPr>
        <w:rPr/>
      </w:pP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dici.unlp.edu.ar/handle/10915/149579"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