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21beb9a0da3b91e5a7e707820147120262625fc"/>
    <w:p>
      <w:pPr>
        <w:pStyle w:val="Heading1"/>
        <w:spacing w:line="360" w:lineRule="auto" w:before="240" w:after="120"/>
        <w:jc w:val="left"/>
      </w:pPr>
      <w:r>
        <w:rPr>
          <w:rFonts w:ascii="Times New Roman" w:hAnsi="Times New Roman"/>
          <w:b/>
          <w:sz w:val="24"/>
        </w:rPr>
        <w:t xml:space="preserve">Memorial de construção das tabelas e figuras</w:t>
      </w:r>
    </w:p>
    <w:p>
      <w:pPr>
        <w:pStyle w:val="FirstParagraph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Monografia: Geopolítica e cadeias globais de valor: a reorganização da produção de semicondutores no Leste Asiático após 2018 (Nicolas Silvério Gass, UFRGS; orientador Prof. Dr. Samuel Costa).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Este arquivo registra, para cada tabela e figura de elaboração própria, de onde vieram os dados, que consulta foi feita, que filtros e transformações foram aplicados, que decisões foram tomadas e por quê, que validações foram feitas e quando cada versão foi gerada. O objetivo é que qualquer leitor, o orientador ou a banca consiga refazer o caminho. O código está em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scripts\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 é a fonte última de verdade sobre 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</w:t>
      </w:r>
      <w:r>
        <w:rPr>
          <w:rFonts w:ascii="Times New Roman" w:hAnsi="Times New Roman"/>
          <w:sz w:val="24"/>
        </w:rPr>
        <w:t xml:space="preserve">como</w:t>
      </w:r>
      <w:r>
        <w:rPr>
          <w:rFonts w:ascii="Times New Roman" w:hAnsi="Times New Roman"/>
          <w:sz w:val="24"/>
        </w:rPr>
        <w:t xml:space="preserve">”</w:t>
      </w:r>
      <w:r>
        <w:rPr>
          <w:rFonts w:ascii="Times New Roman" w:hAnsi="Times New Roman"/>
          <w:sz w:val="24"/>
        </w:rPr>
        <w:t xml:space="preserve">; este memorial explica 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</w:t>
      </w:r>
      <w:r>
        <w:rPr>
          <w:rFonts w:ascii="Times New Roman" w:hAnsi="Times New Roman"/>
          <w:sz w:val="24"/>
        </w:rPr>
        <w:t xml:space="preserve">por quê</w:t>
      </w:r>
      <w:r>
        <w:rPr>
          <w:rFonts w:ascii="Times New Roman" w:hAnsi="Times New Roman"/>
          <w:sz w:val="24"/>
        </w:rPr>
        <w:t xml:space="preserve">”</w:t>
      </w:r>
      <w:r>
        <w:rPr>
          <w:rFonts w:ascii="Times New Roman" w:hAnsi="Times New Roman"/>
          <w:sz w:val="24"/>
        </w:rPr>
        <w:t xml:space="preserve">. Regra do projeto: toda vez que uma tabela ou figura for regerada com mudança de regra, a ficha correspondente é atualizada no mesmo dia.</w:t>
      </w:r>
    </w:p>
    <w:bookmarkStart w:id="20" w:name="estrutura-da-pasta-10.-dados"/>
    <w:p>
      <w:pPr>
        <w:pStyle w:val="Heading2"/>
        <w:spacing w:line="360" w:lineRule="auto" w:before="240" w:after="120"/>
        <w:jc w:val="left"/>
      </w:pPr>
      <w:r>
        <w:rPr>
          <w:rFonts w:ascii="Times New Roman" w:hAnsi="Times New Roman"/>
          <w:b/>
          <w:sz w:val="24"/>
        </w:rPr>
        <w:t xml:space="preserve">1. Estrutura da pasta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Style w:val="VerbatimChar"/>
          <w:rFonts w:ascii="Courier New" w:hAnsi="Courier New"/>
          <w:b/>
          <w:sz w:val="22"/>
        </w:rPr>
        <w:t xml:space="preserve">10. Dados</w:t>
      </w:r>
    </w:p>
    <w:p>
      <w:pPr>
        <w:pStyle w:val="FirstParagraph"/>
        <w:spacing w:line="360" w:lineRule="auto" w:after="120"/>
        <w:jc w:val="both"/>
      </w:pPr>
      <w:r>
        <w:rPr>
          <w:rStyle w:val="VerbatimChar"/>
          <w:rFonts w:ascii="Courier New" w:hAnsi="Courier New"/>
          <w:sz w:val="22"/>
        </w:rPr>
        <w:t xml:space="preserve">brutos\comtrade\</w:t>
      </w:r>
      <w:r>
        <w:rPr>
          <w:rFonts w:ascii="Times New Roman" w:hAnsi="Times New Roman"/>
          <w:sz w:val="24"/>
        </w:rPr>
        <w:t xml:space="preserve">: uma resposta da API por arquivo, nomeada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&lt;reporter&gt;_&lt;fluxo&gt;_&lt;código&gt;_&lt;ano&gt;.csv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(ex.: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USA_M_8542_2019.csv</w:t>
      </w:r>
      <w:r>
        <w:rPr>
          <w:rFonts w:ascii="Times New Roman" w:hAnsi="Times New Roman"/>
          <w:sz w:val="24"/>
        </w:rPr>
        <w:t xml:space="preserve">). São 264 arquivos: 2 reporters x 4 códigos x 30 anos (240) mais 2 x 4 subposições x 3 anos (24). Nunca são editados à mão.</w:t>
      </w:r>
    </w:p>
    <w:p>
      <w:pPr>
        <w:pStyle w:val="BodyText"/>
        <w:spacing w:line="360" w:lineRule="auto" w:after="120"/>
        <w:jc w:val="both"/>
      </w:pPr>
      <w:r>
        <w:rPr>
          <w:rStyle w:val="VerbatimChar"/>
          <w:rFonts w:ascii="Courier New" w:hAnsi="Courier New"/>
          <w:sz w:val="22"/>
        </w:rPr>
        <w:t xml:space="preserve">brutos\comtrade_partnerAreas.json</w:t>
      </w:r>
      <w:r>
        <w:rPr>
          <w:rFonts w:ascii="Times New Roman" w:hAnsi="Times New Roman"/>
          <w:sz w:val="24"/>
        </w:rPr>
        <w:t xml:space="preserve">: tabela oficial de códigos de parceiro da Comtrade, usada para dar nome aos parceiros (o modo preview devolve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partnerDesc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vazio).</w:t>
      </w:r>
    </w:p>
    <w:p>
      <w:pPr>
        <w:pStyle w:val="BodyText"/>
        <w:spacing w:line="360" w:lineRule="auto" w:after="120"/>
        <w:jc w:val="both"/>
      </w:pPr>
      <w:r>
        <w:rPr>
          <w:rStyle w:val="VerbatimChar"/>
          <w:rFonts w:ascii="Courier New" w:hAnsi="Courier New"/>
          <w:sz w:val="22"/>
        </w:rPr>
        <w:t xml:space="preserve">brutos\tiva\</w:t>
      </w:r>
      <w:r>
        <w:rPr>
          <w:rFonts w:ascii="Times New Roman" w:hAnsi="Times New Roman"/>
          <w:sz w:val="24"/>
        </w:rPr>
        <w:t xml:space="preserve">: 22 arquivos SDMX da TiVA 2025 (níveis, participações e parceiros).</w:t>
      </w:r>
    </w:p>
    <w:p>
      <w:pPr>
        <w:pStyle w:val="BodyText"/>
        <w:spacing w:line="360" w:lineRule="auto" w:after="120"/>
        <w:jc w:val="both"/>
      </w:pPr>
      <w:r>
        <w:rPr>
          <w:rStyle w:val="VerbatimChar"/>
          <w:rFonts w:ascii="Courier New" w:hAnsi="Courier New"/>
          <w:sz w:val="22"/>
        </w:rPr>
        <w:t xml:space="preserve">brutos\usgs\</w:t>
      </w:r>
      <w:r>
        <w:rPr>
          <w:rFonts w:ascii="Times New Roman" w:hAnsi="Times New Roman"/>
          <w:sz w:val="24"/>
        </w:rPr>
        <w:t xml:space="preserve">: tabela de terras raras do USGS transcrita, com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LEIA-ME.txt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da conferência.</w:t>
      </w:r>
    </w:p>
    <w:p>
      <w:pPr>
        <w:pStyle w:val="BodyText"/>
        <w:spacing w:line="360" w:lineRule="auto" w:after="120"/>
        <w:jc w:val="both"/>
      </w:pPr>
      <w:r>
        <w:rPr>
          <w:rStyle w:val="VerbatimChar"/>
          <w:rFonts w:ascii="Courier New" w:hAnsi="Courier New"/>
          <w:sz w:val="22"/>
        </w:rPr>
        <w:t xml:space="preserve">tratados\</w:t>
      </w:r>
      <w:r>
        <w:rPr>
          <w:rFonts w:ascii="Times New Roman" w:hAnsi="Times New Roman"/>
          <w:sz w:val="24"/>
        </w:rPr>
        <w:t xml:space="preserve">: consolidados (</w:t>
      </w:r>
      <w:r>
        <w:rPr>
          <w:rStyle w:val="VerbatimChar"/>
          <w:rFonts w:ascii="Courier New" w:hAnsi="Courier New"/>
          <w:sz w:val="22"/>
        </w:rPr>
        <w:t xml:space="preserve">comtrade_consolidado.csv</w:t>
      </w:r>
      <w:r>
        <w:rPr>
          <w:rFonts w:ascii="Times New Roman" w:hAnsi="Times New Roman"/>
          <w:sz w:val="24"/>
        </w:rPr>
        <w:t xml:space="preserve">,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tiva_consolidado.csv</w:t>
      </w:r>
      <w:r>
        <w:rPr>
          <w:rFonts w:ascii="Times New Roman" w:hAnsi="Times New Roman"/>
          <w:sz w:val="24"/>
        </w:rPr>
        <w:t xml:space="preserve">), as tabelas-base T1 a T4 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resumo_tabelas.md</w:t>
      </w:r>
      <w:r>
        <w:rPr>
          <w:rFonts w:ascii="Times New Roman" w:hAnsi="Times New Roman"/>
          <w:sz w:val="24"/>
        </w:rPr>
        <w:t xml:space="preserve">.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_antes_correcao_fotovoltaicas\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guarda a T1 gerada antes da exclusão do grupo 8541.4, para registro da diferença.</w:t>
      </w:r>
    </w:p>
    <w:p>
      <w:pPr>
        <w:pStyle w:val="BodyText"/>
        <w:spacing w:line="360" w:lineRule="auto" w:after="120"/>
        <w:jc w:val="both"/>
      </w:pPr>
      <w:r>
        <w:rPr>
          <w:rStyle w:val="VerbatimChar"/>
          <w:rFonts w:ascii="Courier New" w:hAnsi="Courier New"/>
          <w:sz w:val="22"/>
        </w:rPr>
        <w:t xml:space="preserve">figuras\</w:t>
      </w:r>
      <w:r>
        <w:rPr>
          <w:rFonts w:ascii="Times New Roman" w:hAnsi="Times New Roman"/>
          <w:sz w:val="24"/>
        </w:rPr>
        <w:t xml:space="preserve">: PNG 300 dpi das figuras da monografia.</w:t>
      </w:r>
    </w:p>
    <w:p>
      <w:pPr>
        <w:pStyle w:val="BodyText"/>
        <w:spacing w:line="360" w:lineRule="auto" w:after="120"/>
        <w:jc w:val="both"/>
      </w:pPr>
      <w:r>
        <w:rPr>
          <w:rStyle w:val="VerbatimChar"/>
          <w:rFonts w:ascii="Courier New" w:hAnsi="Courier New"/>
          <w:sz w:val="22"/>
        </w:rPr>
        <w:t xml:space="preserve">scripts\</w:t>
      </w:r>
      <w:r>
        <w:rPr>
          <w:rFonts w:ascii="Times New Roman" w:hAnsi="Times New Roman"/>
          <w:sz w:val="24"/>
        </w:rPr>
        <w:t xml:space="preserve">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comtrade_coleta.py</w:t>
      </w:r>
      <w:r>
        <w:rPr>
          <w:rFonts w:ascii="Times New Roman" w:hAnsi="Times New Roman"/>
          <w:sz w:val="24"/>
        </w:rPr>
        <w:t xml:space="preserve">,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coleta_85414x.py</w:t>
      </w:r>
      <w:r>
        <w:rPr>
          <w:rFonts w:ascii="Times New Roman" w:hAnsi="Times New Roman"/>
          <w:sz w:val="24"/>
        </w:rPr>
        <w:t xml:space="preserve">,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tiva_coleta.py</w:t>
      </w:r>
      <w:r>
        <w:rPr>
          <w:rFonts w:ascii="Times New Roman" w:hAnsi="Times New Roman"/>
          <w:sz w:val="24"/>
        </w:rPr>
        <w:t xml:space="preserve">,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tabelas.py</w:t>
      </w:r>
      <w:r>
        <w:rPr>
          <w:rFonts w:ascii="Times New Roman" w:hAnsi="Times New Roman"/>
          <w:sz w:val="24"/>
        </w:rPr>
        <w:t xml:space="preserve">,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figuras.py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(reproduzidos no Apêndice A).</w:t>
      </w:r>
    </w:p>
    <w:p>
      <w:pPr>
        <w:pStyle w:val="BodyText"/>
        <w:spacing w:line="360" w:lineRule="auto" w:after="120"/>
        <w:jc w:val="both"/>
      </w:pPr>
      <w:r>
        <w:rPr>
          <w:rStyle w:val="VerbatimChar"/>
          <w:rFonts w:ascii="Courier New" w:hAnsi="Courier New"/>
          <w:sz w:val="22"/>
        </w:rPr>
        <w:t xml:space="preserve">log_acessos.csv</w:t>
      </w:r>
      <w:r>
        <w:rPr>
          <w:rFonts w:ascii="Times New Roman" w:hAnsi="Times New Roman"/>
          <w:sz w:val="24"/>
        </w:rPr>
        <w:t xml:space="preserve">: base, URL, data e hora de cada execução de coleta. É de onde saem as datas de acesso das Referências; nunca é preenchido à mão.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Repositório público (espelho desta pasta): https://github.com/nicolassilveriogass-cpu/tcc-semicondutores-cgv (GASS, 2026), citado na seção 2.3 e no Apêndice A da monografia; clone local em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12. Github\tcc-semicondutores-cgv</w:t>
      </w:r>
      <w:r>
        <w:rPr>
          <w:rFonts w:ascii="Times New Roman" w:hAnsi="Times New Roman"/>
          <w:sz w:val="24"/>
        </w:rPr>
        <w:t xml:space="preserve">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Cadeia de reprodução: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python comtrade_coleta.py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python coleta_85414x.py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(cache: só baixam o que falta) -&gt;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python tiva_coleta.py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-&gt;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python tabelas.py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-&gt;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python figuras.py</w:t>
      </w:r>
      <w:r>
        <w:rPr>
          <w:rFonts w:ascii="Times New Roman" w:hAnsi="Times New Roman"/>
          <w:sz w:val="24"/>
        </w:rPr>
        <w:t xml:space="preserve">. Rodar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tabelas.py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figuras.py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sem recoletar reproduz exatamente as tabelas e figuras atuais, porque os brutos não mudam.</w:t>
      </w:r>
    </w:p>
    <w:bookmarkEnd w:id="20"/>
    <w:bookmarkStart w:id="21" w:name="Xc53a93f8c82d2aae927605e702e2b4baf162d0d"/>
    <w:p>
      <w:pPr>
        <w:pStyle w:val="Heading2"/>
        <w:spacing w:line="360" w:lineRule="auto" w:before="240" w:after="120"/>
        <w:jc w:val="left"/>
      </w:pPr>
      <w:r>
        <w:rPr>
          <w:rFonts w:ascii="Times New Roman" w:hAnsi="Times New Roman"/>
          <w:b/>
          <w:sz w:val="24"/>
        </w:rPr>
        <w:t xml:space="preserve">2. Decisões transversais (valem para todas as tabelas de comércio)</w:t>
      </w:r>
    </w:p>
    <w:p>
      <w:pPr>
        <w:pStyle w:val="FirstParagraph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Fonte. UN Comtrade Database, API pública v1, modo preview, sem chave (</w:t>
      </w:r>
      <w:r>
        <w:rPr>
          <w:rStyle w:val="VerbatimChar"/>
          <w:rFonts w:ascii="Courier New" w:hAnsi="Courier New"/>
          <w:sz w:val="22"/>
        </w:rPr>
        <w:t xml:space="preserve">https://comtradeapi.un.org/public/v1/preview/C/A/HS</w:t>
      </w:r>
      <w:r>
        <w:rPr>
          <w:rFonts w:ascii="Times New Roman" w:hAnsi="Times New Roman"/>
          <w:sz w:val="24"/>
        </w:rPr>
        <w:t xml:space="preserve">). Reporters: China (156) para exportações (fluxo X) e Estados Unidos (842) para importações (fluxo M). Valores em US$ correntes (</w:t>
      </w:r>
      <w:r>
        <w:rPr>
          <w:rStyle w:val="VerbatimChar"/>
          <w:rFonts w:ascii="Courier New" w:hAnsi="Courier New"/>
          <w:sz w:val="22"/>
        </w:rPr>
        <w:t xml:space="preserve">primaryValue</w:t>
      </w:r>
      <w:r>
        <w:rPr>
          <w:rFonts w:ascii="Times New Roman" w:hAnsi="Times New Roman"/>
          <w:sz w:val="24"/>
        </w:rPr>
        <w:t xml:space="preserve">), anuais, classificação HS conforme reportada em cada ano.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Por que os Estados Unidos vêm da Comtrade e não do Census. O projeto previa Census Bureau e BEA; durante a execução a API do Census passou a exigir credencial. Os Estados Unidos reportam à ONU importações em base CIF (valor mais frete e seguro), enquanto o Census publica valor aduaneiro. Conferido em 2017: US$ 525,8 bi (Comtrade) contra US$ 505,6 bi (Census), diferença de cerca de 4%. Como o frete incide de forma parecida sobre todas as origens, as participações quase não mudam (China em 2017: 21,9% na Comtrade; 21,6% em Freund et al., 2024, com dados do Census). Consequência: todas as comparações com a literatura são feitas em participações, nunca em níveis.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Definição de semicondutores. Posições HS 8541 (diodos, transistores e dispositivos semicondutores similares; dispositivos fotossensíveis; LEDs) e 8542 (circuitos integrados), menos o grupo 8541.4 (dispositivos fotossensíveis, inclusive células fotovoltaicas montadas ou não em módulos, e LEDs). Motivo: a China é a maior exportadora mundial de painéis solares e o grupo 8541.4 responde por 57% a 82% do valor da posição 8541 nas duas pontas em todo o período recente; sem a exclusão,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</w:t>
      </w:r>
      <w:r>
        <w:rPr>
          <w:rFonts w:ascii="Times New Roman" w:hAnsi="Times New Roman"/>
          <w:sz w:val="24"/>
        </w:rPr>
        <w:t xml:space="preserve">semicondutores</w:t>
      </w:r>
      <w:r>
        <w:rPr>
          <w:rFonts w:ascii="Times New Roman" w:hAnsi="Times New Roman"/>
          <w:sz w:val="24"/>
        </w:rPr>
        <w:t xml:space="preserve">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seria na prática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</w:t>
      </w:r>
      <w:r>
        <w:rPr>
          <w:rFonts w:ascii="Times New Roman" w:hAnsi="Times New Roman"/>
          <w:sz w:val="24"/>
        </w:rPr>
        <w:t xml:space="preserve">painéis solares</w:t>
      </w:r>
      <w:r>
        <w:rPr>
          <w:rFonts w:ascii="Times New Roman" w:hAnsi="Times New Roman"/>
          <w:sz w:val="24"/>
        </w:rPr>
        <w:t xml:space="preserve">”</w:t>
      </w:r>
      <w:r>
        <w:rPr>
          <w:rFonts w:ascii="Times New Roman" w:hAnsi="Times New Roman"/>
          <w:sz w:val="24"/>
        </w:rPr>
        <w:t xml:space="preserve">. A definição fica próxima da usada pela Semiconductor Industry Association, que exclui os produtos solares. Codificação: 854140 até 2021; a revisão HS 2022 desdobrou o grupo em 854141, 854142, 854143 e 854149, coletados para 2022 a 2024 e somados. Em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tabelas.py</w:t>
      </w:r>
      <w:r>
        <w:rPr>
          <w:rFonts w:ascii="Times New Roman" w:hAnsi="Times New Roman"/>
          <w:sz w:val="24"/>
        </w:rPr>
        <w:t xml:space="preserve">, qualquer código que comece com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85414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entra com sinal negativo no grupo SEMICOND. Descoberta em 28/09/2026: a primeira versão das tabelas (25/09) não fazia a exclusão; o efeito está registrado na ficha da T1.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Filtros na leitura da API. Os parâmetros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customsCode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motCode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na URL devolvem erro 400 no modo preview, por isso a API é chamada sem eles e o filtro é feito em Python: mantêm-se só as linhas com modo de transporte total (</w:t>
      </w:r>
      <w:r>
        <w:rPr>
          <w:rStyle w:val="VerbatimChar"/>
          <w:rFonts w:ascii="Courier New" w:hAnsi="Courier New"/>
          <w:sz w:val="22"/>
        </w:rPr>
        <w:t xml:space="preserve">motCode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0) e regime aduaneiro total (</w:t>
      </w:r>
      <w:r>
        <w:rPr>
          <w:rStyle w:val="VerbatimChar"/>
          <w:rFonts w:ascii="Courier New" w:hAnsi="Courier New"/>
          <w:sz w:val="22"/>
        </w:rPr>
        <w:t xml:space="preserve">customsCode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C00), o que evita dupla contagem.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partner2Code=0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elimina a quebra por segundo parceiro (sem ele o TOTAL ultrapassa o teto de 500 linhas do preview). A chamada é feita sem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partnerCode</w:t>
      </w:r>
      <w:r>
        <w:rPr>
          <w:rFonts w:ascii="Times New Roman" w:hAnsi="Times New Roman"/>
          <w:sz w:val="24"/>
        </w:rPr>
        <w:t xml:space="preserve">, o que devolve todos os parceiros de uma vez; o script avisa se alguma resposta bater no teto de 500 linhas (nenhuma bateu).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Taiwan. Na Comtrade aparece como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</w:t>
      </w:r>
      <w:r>
        <w:rPr>
          <w:rFonts w:ascii="Times New Roman" w:hAnsi="Times New Roman"/>
          <w:sz w:val="24"/>
        </w:rPr>
        <w:t xml:space="preserve">Other Asia, nes</w:t>
      </w:r>
      <w:r>
        <w:rPr>
          <w:rFonts w:ascii="Times New Roman" w:hAnsi="Times New Roman"/>
          <w:sz w:val="24"/>
        </w:rPr>
        <w:t xml:space="preserve">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(código 490), designação que a base usa para essa economia; os fluxos são atribuídos a Taiwan e a designação é indicada nas tabelas. Na TiVA aparece como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</w:t>
      </w:r>
      <w:r>
        <w:rPr>
          <w:rFonts w:ascii="Times New Roman" w:hAnsi="Times New Roman"/>
          <w:sz w:val="24"/>
        </w:rPr>
        <w:t xml:space="preserve">Chinese Taipei</w:t>
      </w:r>
      <w:r>
        <w:rPr>
          <w:rFonts w:ascii="Times New Roman" w:hAnsi="Times New Roman"/>
          <w:sz w:val="24"/>
        </w:rPr>
        <w:t xml:space="preserve">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(TWN).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Hong Kong. Aparece como grande destino das exportações chinesas de semicondutores por seu papel de entreposto; parte do fluxo é reexportada e a base não permite separar. Fica registrado como limitação, sem ajuste.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Recorte temporal. Série completa 1995-2024 (coincide com a cobertura da TiVA e a criação da OMC). Nas comparações de antes e depois, 2018 é ano de transição e fica fora dos dois lados: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</w:t>
      </w:r>
      <w:r>
        <w:rPr>
          <w:rFonts w:ascii="Times New Roman" w:hAnsi="Times New Roman"/>
          <w:sz w:val="24"/>
        </w:rPr>
        <w:t xml:space="preserve">pré</w:t>
      </w:r>
      <w:r>
        <w:rPr>
          <w:rFonts w:ascii="Times New Roman" w:hAnsi="Times New Roman"/>
          <w:sz w:val="24"/>
        </w:rPr>
        <w:t xml:space="preserve">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= média simples de 2013 a 2017;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</w:t>
      </w:r>
      <w:r>
        <w:rPr>
          <w:rFonts w:ascii="Times New Roman" w:hAnsi="Times New Roman"/>
          <w:sz w:val="24"/>
        </w:rPr>
        <w:t xml:space="preserve">pós</w:t>
      </w:r>
      <w:r>
        <w:rPr>
          <w:rFonts w:ascii="Times New Roman" w:hAnsi="Times New Roman"/>
          <w:sz w:val="24"/>
        </w:rPr>
        <w:t xml:space="preserve">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= média simples de 2019 a 2024. Médias de vários anos reduzem o peso da queda de 2020 e do pico de 2021-2022. Nas séries da TiVA, que terminam em 2022, 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</w:t>
      </w:r>
      <w:r>
        <w:rPr>
          <w:rFonts w:ascii="Times New Roman" w:hAnsi="Times New Roman"/>
          <w:sz w:val="24"/>
        </w:rPr>
        <w:t xml:space="preserve">pós</w:t>
      </w:r>
      <w:r>
        <w:rPr>
          <w:rFonts w:ascii="Times New Roman" w:hAnsi="Times New Roman"/>
          <w:sz w:val="24"/>
        </w:rPr>
        <w:t xml:space="preserve">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fica restrito a 2019-2022.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Validação dos dados baixados. Nove células foram conferidas por chamada isolada à API (com parceiro explícito na URL, caminho diferente do usado na coleta) e coincidiram com os valores gravados: em 25/09/2026, EUA&lt;-China 8542 2024; EUA&lt;-China TOTAL 2017; China-&gt;Vietnã 8542 2023; China-&gt;Brasil 8542 2022; EUA&lt;-Malásia 8541 2019; em 28/09/2026, quatro células adicionais após a inclusão do grupo 8541.4. Checagem externa: participação da China nas importações totais dos EUA em 2017 (21,9%) contra Freund et al. (2024): 21,6%.</w:t>
      </w:r>
    </w:p>
    <w:bookmarkEnd w:id="21"/>
    <w:bookmarkStart w:id="32" w:name="fichas"/>
    <w:p>
      <w:pPr>
        <w:pStyle w:val="Heading2"/>
        <w:spacing w:line="360" w:lineRule="auto" w:before="240" w:after="120"/>
        <w:jc w:val="left"/>
      </w:pPr>
      <w:r>
        <w:rPr>
          <w:rFonts w:ascii="Times New Roman" w:hAnsi="Times New Roman"/>
          <w:b/>
          <w:sz w:val="24"/>
        </w:rPr>
        <w:t xml:space="preserve">3. Fichas</w:t>
      </w:r>
    </w:p>
    <w:bookmarkStart w:id="22" w:name="X528c86eccac3f20e3395591b89b06c72aeede44"/>
    <w:p>
      <w:pPr>
        <w:pStyle w:val="Heading3"/>
        <w:spacing w:line="360" w:lineRule="auto" w:before="240" w:after="120"/>
        <w:jc w:val="left"/>
      </w:pPr>
      <w:r>
        <w:rPr>
          <w:rFonts w:ascii="Times New Roman" w:hAnsi="Times New Roman"/>
          <w:b/>
          <w:sz w:val="24"/>
        </w:rPr>
        <w:t xml:space="preserve">T1. Ranking de destinos das exportações da China, pré x pós 2018</w:t>
      </w:r>
    </w:p>
    <w:p>
      <w:pPr>
        <w:pStyle w:val="FirstParagraph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Arquivo: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tratados\T1_china_destinos_ranking.csv</w:t>
      </w:r>
      <w:r>
        <w:rPr>
          <w:rFonts w:ascii="Times New Roman" w:hAnsi="Times New Roman"/>
          <w:sz w:val="24"/>
        </w:rPr>
        <w:t xml:space="preserve">. Gerada por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tabelas.py</w:t>
      </w:r>
      <w:r>
        <w:rPr>
          <w:rFonts w:ascii="Times New Roman" w:hAnsi="Times New Roman"/>
          <w:sz w:val="24"/>
        </w:rPr>
        <w:t xml:space="preserve">, função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t1_china_destinos</w:t>
      </w:r>
      <w:r>
        <w:rPr>
          <w:rFonts w:ascii="Times New Roman" w:hAnsi="Times New Roman"/>
          <w:sz w:val="24"/>
        </w:rPr>
        <w:t xml:space="preserve">. Versão atual: 28/09/2026 14h09 (com exclusão do grupo 8541.4).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Pergunta: o lado chinês da sub-hipótese de composição geográfica. Para onde a China passou a exportar, e se o movimento é mais forte em semicondutores do que no total (sub-hipótese de seletividade setorial). Pedido do orientador na conversa de setembro.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Cálculo: para cada grupo (TOTAL e SEMICOND) e cada parceiro, média das exportações em 2013-2017 e em 2019-2024; participação = média do parceiro dividida pela média do Mundo (parceiro 0) no mesmo período; ranking pelo valor médio em cada período;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var_rank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= posição pré menos posição pós (positivo = subiu). Guardados os 30 maiores de cada grupo.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Leitura principal (SEMICOND): Hong Kong cai de 55,6% para 42,6%; Coreia do Sul sobe de 9,3% para 13,1% (3º para 2º); Taiwan 11,8% para 12,8%; Vietnã salta do 8º para o 4º destino (2,0% para 8,8%); Índia do 12º para o 7º; Estados Unidos caem do 6º para o 9º (2,8% para 1,5%); Cingapura cai do 4º para o 6º. No TOTAL as posições quase não mudam (EUA 1º, Hong Kong 2º, Japão 3º), com Vietnã de 6º para 5º.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Efeito da correção das fotovoltaicas (versão de 25/09 em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_antes_correcao_fotovoltaicas</w:t>
      </w:r>
      <w:r>
        <w:rPr>
          <w:rFonts w:ascii="Times New Roman" w:hAnsi="Times New Roman"/>
          <w:sz w:val="24"/>
        </w:rPr>
        <w:t xml:space="preserve">): Brasil e Países Baixos figuravam entre os 12 maiores destinos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</w:t>
      </w:r>
      <w:r>
        <w:rPr>
          <w:rFonts w:ascii="Times New Roman" w:hAnsi="Times New Roman"/>
          <w:sz w:val="24"/>
        </w:rPr>
        <w:t xml:space="preserve">de semicondutores</w:t>
      </w:r>
      <w:r>
        <w:rPr>
          <w:rFonts w:ascii="Times New Roman" w:hAnsi="Times New Roman"/>
          <w:sz w:val="24"/>
        </w:rPr>
        <w:t xml:space="preserve">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da China; eram painéis solares. Saíram do top 12 depois da exclusão.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Uso na monografia: Tabela 2 do capítulo 3 (seção 3.3.1), em formato compacto (top 12 do SEMICOND com participação e posição nos dois períodos; TOTAL como contraste).</w:t>
      </w:r>
    </w:p>
    <w:bookmarkEnd w:id="22"/>
    <w:bookmarkStart w:id="23" w:name="X74fc4ac7cf01d5b937068a020f7b0af140324fb"/>
    <w:p>
      <w:pPr>
        <w:pStyle w:val="Heading3"/>
        <w:spacing w:line="360" w:lineRule="auto" w:before="240" w:after="120"/>
        <w:jc w:val="left"/>
      </w:pPr>
      <w:r>
        <w:rPr>
          <w:rFonts w:ascii="Times New Roman" w:hAnsi="Times New Roman"/>
          <w:b/>
          <w:sz w:val="24"/>
        </w:rPr>
        <w:t xml:space="preserve">T2. Participação por origem nas importações dos Estados Unidos, por ano</w:t>
      </w:r>
    </w:p>
    <w:p>
      <w:pPr>
        <w:pStyle w:val="FirstParagraph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Arquivo: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tratados\T2_eua_origens_share.csv</w:t>
      </w:r>
      <w:r>
        <w:rPr>
          <w:rFonts w:ascii="Times New Roman" w:hAnsi="Times New Roman"/>
          <w:sz w:val="24"/>
        </w:rPr>
        <w:t xml:space="preserve">. Função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t2_eua_origens</w:t>
      </w:r>
      <w:r>
        <w:rPr>
          <w:rFonts w:ascii="Times New Roman" w:hAnsi="Times New Roman"/>
          <w:sz w:val="24"/>
        </w:rPr>
        <w:t xml:space="preserve">. Versão atual: 28/09/2026 14h09.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Pergunta: o lado americano da composição geográfica, replicando para semicondutores a lógica da Figura 2 de Freund et al. (2024), que trabalha com o total.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Cálculo: para cada grupo e ano de 1995 a 2024, participação de cada origem selecionada = valor da origem dividido pelo valor do Mundo (parceiro 0), em %. Origens: China (156), Taiwan (490), Coreia do Sul (410), Vietnã (704), México (484), Malásia (458), Japão (392), Brasil (76). Malásia entra porque é a maior origem de semicondutores dos EUA (montagem e teste, OSAT); Brasil entra para o adendo e mostra participação nula em semicondutores.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Leitura principal (SEMICOND): China de 9,9% (2017) para 4,2% (2024); Taiwan de 11,3% para 26,2%; Malásia de 35,5% (2017) e pico de 44,5% (2020) para 22,5% (2024); Vietnã sobe até 7,4% (2020) e recua para 3,6%. No TOTAL: China de 21,9% para 13,8%; México de 13,1% para 15,2%; Vietnã de 2,0% para 4,2%; Taiwan de 1,8% para 3,5%.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Uso na monografia: painel (a) da Figura 1 (séries de China, Taiwan, Coreia do Sul, Malásia, Vietnã e Japão) e Tabela 1 do capítulo 3 (médias pré e pós por origem, setor contra total).</w:t>
      </w:r>
    </w:p>
    <w:bookmarkEnd w:id="23"/>
    <w:bookmarkStart w:id="24" w:name="Xc998cf24d68c5e9e02e94b82686d55b764a4088"/>
    <w:p>
      <w:pPr>
        <w:pStyle w:val="Heading3"/>
        <w:spacing w:line="360" w:lineRule="auto" w:before="240" w:after="120"/>
        <w:jc w:val="left"/>
      </w:pPr>
      <w:r>
        <w:rPr>
          <w:rFonts w:ascii="Times New Roman" w:hAnsi="Times New Roman"/>
          <w:b/>
          <w:sz w:val="24"/>
        </w:rPr>
        <w:t xml:space="preserve">T3. TiVA, atividade C26: exportações brutas e valor adicionado</w:t>
      </w:r>
    </w:p>
    <w:p>
      <w:pPr>
        <w:pStyle w:val="FirstParagraph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Arquivo: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tratados\T3_tiva_C26.csv</w:t>
      </w:r>
      <w:r>
        <w:rPr>
          <w:rFonts w:ascii="Times New Roman" w:hAnsi="Times New Roman"/>
          <w:sz w:val="24"/>
        </w:rPr>
        <w:t xml:space="preserve">. Função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t3_tiva</w:t>
      </w:r>
      <w:r>
        <w:rPr>
          <w:rFonts w:ascii="Times New Roman" w:hAnsi="Times New Roman"/>
          <w:sz w:val="24"/>
        </w:rPr>
        <w:t xml:space="preserve">, a partir de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tiva_consolidado.csv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gerado por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tiva_coleta.py</w:t>
      </w:r>
      <w:r>
        <w:rPr>
          <w:rFonts w:ascii="Times New Roman" w:hAnsi="Times New Roman"/>
          <w:sz w:val="24"/>
        </w:rPr>
        <w:t xml:space="preserve">. Coleta em 25/09/2026 17h54; tabela regerada em 28/09 sem mudança de regra.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Fonte: OCDE, Trade in Value Added, edição 2025 (1995-2022), via SDMX no endpoint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sti-public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(o endpoint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public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devolve erro 500 para esses fluxos). Dataflows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DSD_TIVA_MAINLV@DF_MAINLV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(níveis, US$ milhões) 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DSD_TIVA_MAINSH@DF_MAINSH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(participações, % das exportações brutas). Economias coletadas: CHN, KOR, TWN, USA, JPN, VNM, MEX, BRA e Mundo; atividades total, manufatura (C) e C26; medidas EXGR, EXGR_INT, EXGR_FNL, EXGR_DVA, EXGR_FVA, VALU; participação por destino (EXGR_PSH, EXGR_DVA_PSH) em C26 para CHN, KOR, TWN e USA.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Por que C26. É a abertura mais fina em que a TiVA cobre os semicondutores (fabricação de computadores, produtos eletrônicos e ópticos, ISIC rev. 4); não existe C261. Limitação declarada na seção 2.7: os indicadores se referem ao conjunto da eletrônica, no qual os semicondutores são a parte de maior peso para as três economias, mas não a única.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Por que a edição 2025 e não a 2023 do projeto. É a edição vigente e estende a cobertura até 2022, o que inclui três anos do pós-2018. Registrado como ajuste em relação ao projeto.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Filtro da T3: C26, contraparte Mundo, 2005-2022, medidas EXGR, EXGR_DVA, EXGR_FVA e EXGR_INT, para CHN, KOR, TWN, USA, VNM e MEX, em níveis e em participações.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Leitura principal (participação do VA doméstico nas exportações brutas de C26): Taiwan sobe de 53% (2010) para 71% (2022); China e Coreia estáveis em torno de 71-73%; Vietnã e México em torno de 45%, padrão típico de montagem.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Uso na monografia: Figura 2 do capítulo 3 (seção 3.3.2) e apoio ao 4.1 e 4.2.</w:t>
      </w:r>
    </w:p>
    <w:bookmarkEnd w:id="24"/>
    <w:bookmarkStart w:id="25" w:name="Xb9d6e7b433bad8852a3dc2a69048106fc070758"/>
    <w:p>
      <w:pPr>
        <w:pStyle w:val="Heading3"/>
        <w:spacing w:line="360" w:lineRule="auto" w:before="240" w:after="120"/>
        <w:jc w:val="left"/>
      </w:pPr>
      <w:r>
        <w:rPr>
          <w:rFonts w:ascii="Times New Roman" w:hAnsi="Times New Roman"/>
          <w:b/>
          <w:sz w:val="24"/>
        </w:rPr>
        <w:t xml:space="preserve">T4. Índice de Herfindahl-Hirschman das origens das importações dos EUA</w:t>
      </w:r>
    </w:p>
    <w:p>
      <w:pPr>
        <w:pStyle w:val="FirstParagraph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Arquivo: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tratados\T4_eua_hhi_origens.csv</w:t>
      </w:r>
      <w:r>
        <w:rPr>
          <w:rFonts w:ascii="Times New Roman" w:hAnsi="Times New Roman"/>
          <w:sz w:val="24"/>
        </w:rPr>
        <w:t xml:space="preserve">. Função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t4_hhi</w:t>
      </w:r>
      <w:r>
        <w:rPr>
          <w:rFonts w:ascii="Times New Roman" w:hAnsi="Times New Roman"/>
          <w:sz w:val="24"/>
        </w:rPr>
        <w:t xml:space="preserve">. Versão atual: 28/09/2026 14h09.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Pergunta: resumir em um número, ano a ano, quão concentrada é a pauta de origem, para ver se a reorganização diversificou ou concentrou os fornecedores.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Cálculo: para cada grupo e ano, participação de cada parceiro com valor positivo (excluído o Mundo) sobre o total; HHI = 10.000 x soma dos quadrados das participações (escala 0 a 10.000). Grava também a maior participação e o número de origens. Usa todos os parceiros reportados, não só os selecionados da T2.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Leitura principal (SEMICOND): HHI em torno de 900-1.000 nos anos 2000; sobe a ~1.700 em 2016-2017, a ~2.300 em 2019-2021 (concentração na Malásia) e recua a ~1.400 em 2023-2024 (Taiwan cresce, Malásia cai). O TOTAL fica estável entre 750 e 950 no período inteiro.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Uso na monografia: painel (b) da Figura 1 e Tabela 1 do capítulo 3.</w:t>
      </w:r>
    </w:p>
    <w:bookmarkEnd w:id="25"/>
    <w:bookmarkStart w:id="26" w:name="X67142a7dd9d7dfae8e15eafd2a5277c245c3eac"/>
    <w:p>
      <w:pPr>
        <w:pStyle w:val="Heading3"/>
        <w:spacing w:line="360" w:lineRule="auto" w:before="240" w:after="120"/>
        <w:jc w:val="left"/>
      </w:pPr>
      <w:r>
        <w:rPr>
          <w:rFonts w:ascii="Times New Roman" w:hAnsi="Times New Roman"/>
          <w:b/>
          <w:sz w:val="24"/>
        </w:rPr>
        <w:t xml:space="preserve">Figura 1. Participação de origens selecionadas nas importações de semicondutores dos EUA e concentração da pauta de origem, 1995-2024</w:t>
      </w:r>
    </w:p>
    <w:p>
      <w:pPr>
        <w:pStyle w:val="FirstParagraph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Arquivo: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figuras\Figura_1.png</w:t>
      </w:r>
      <w:r>
        <w:rPr>
          <w:rFonts w:ascii="Times New Roman" w:hAnsi="Times New Roman"/>
          <w:sz w:val="24"/>
        </w:rPr>
        <w:t xml:space="preserve">. Gerada por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figuras.py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em 29/09/2026 11h32, a partir de T2 (painel a) e T4 (painel b). Aprovada pelo Nicolas em 29/09/2026.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Regras gráficas: legível em preto e branco (cada série com cor, traço e marcador distintos); faixa cinza marcando o período posterior a 2018; painel (a) limitado a 0-50% para não achatar as séries; 300 dpi; fonte serifada (Times New Roman quando disponível; na máquina em que foi gerada, Liberation Serif). Título ABNT acima (</w:t>
      </w:r>
      <w:r>
        <w:rPr>
          <w:rFonts w:ascii="Times New Roman" w:hAnsi="Times New Roman"/>
          <w:sz w:val="24"/>
        </w:rPr>
        <w:t xml:space="preserve">“</w:t>
      </w:r>
      <w:r>
        <w:rPr>
          <w:rFonts w:ascii="Times New Roman" w:hAnsi="Times New Roman"/>
          <w:sz w:val="24"/>
        </w:rPr>
        <w:t xml:space="preserve">Figura 1 – …</w:t>
      </w:r>
      <w:r>
        <w:rPr>
          <w:rFonts w:ascii="Times New Roman" w:hAnsi="Times New Roman"/>
          <w:sz w:val="24"/>
        </w:rPr>
        <w:t xml:space="preserve">”</w:t>
      </w:r>
      <w:r>
        <w:rPr>
          <w:rFonts w:ascii="Times New Roman" w:hAnsi="Times New Roman"/>
          <w:sz w:val="24"/>
        </w:rPr>
        <w:t xml:space="preserve">) e fonte abaixo (</w:t>
      </w:r>
      <w:r>
        <w:rPr>
          <w:rFonts w:ascii="Times New Roman" w:hAnsi="Times New Roman"/>
          <w:sz w:val="24"/>
        </w:rPr>
        <w:t xml:space="preserve">“</w:t>
      </w:r>
      <w:r>
        <w:rPr>
          <w:rFonts w:ascii="Times New Roman" w:hAnsi="Times New Roman"/>
          <w:sz w:val="24"/>
        </w:rPr>
        <w:t xml:space="preserve">Fonte: elaboração própria a partir de United Nations (2026)</w:t>
      </w:r>
      <w:r>
        <w:rPr>
          <w:rFonts w:ascii="Times New Roman" w:hAnsi="Times New Roman"/>
          <w:sz w:val="24"/>
        </w:rPr>
        <w:t xml:space="preserve">”</w:t>
      </w:r>
      <w:r>
        <w:rPr>
          <w:rFonts w:ascii="Times New Roman" w:hAnsi="Times New Roman"/>
          <w:sz w:val="24"/>
        </w:rPr>
        <w:t xml:space="preserve">), com nota sobre a definição de semicondutores e sobre Taiwan.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Uso na monografia: seção 3.3.1.</w:t>
      </w:r>
    </w:p>
    <w:bookmarkEnd w:id="26"/>
    <w:bookmarkStart w:id="27" w:name="X2b50321ae6f01c20cc30a203ace7e8737607128"/>
    <w:p>
      <w:pPr>
        <w:pStyle w:val="Heading3"/>
        <w:spacing w:line="360" w:lineRule="auto" w:before="240" w:after="120"/>
        <w:jc w:val="left"/>
      </w:pPr>
      <w:r>
        <w:rPr>
          <w:rFonts w:ascii="Times New Roman" w:hAnsi="Times New Roman"/>
          <w:b/>
          <w:sz w:val="24"/>
        </w:rPr>
        <w:t xml:space="preserve">Tabela 1 (cap. 3, seção 3.3.1). Participação de origens selecionadas nas importações dos EUA e concentração da pauta de origem, semicondutores e total: médias de 2013-2017 e 2019-2024</w:t>
      </w:r>
    </w:p>
    <w:p>
      <w:pPr>
        <w:pStyle w:val="FirstParagraph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Arquivo: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tratados\Tabela1_cap3.csv</w:t>
      </w:r>
      <w:r>
        <w:rPr>
          <w:rFonts w:ascii="Times New Roman" w:hAnsi="Times New Roman"/>
          <w:sz w:val="24"/>
        </w:rPr>
        <w:t xml:space="preserve">. Gerada por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scripts\tabela1_cap3.py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em 29/09/2026 a partir de T2 (participações) e T4 (HHI). Inserida no consolidado de 29/09.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Pergunta: a sub-hipótese de composição geográfica do lado americano, lida junto com a de seletividade setorial: quem perdeu e quem ganhou espaço nas importações de semicondutores dos EUA depois de 2018, e se o movimento foi mais forte no setor do que no total.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Cálculo: para cada origem (China, Taiwan, Coreia do Sul, Malásia, Vietnã, Japão, México) e cada grupo (semicondutores e total), média simples das participações anuais em 2013-2017 e em 2019-2024; variação = diferença entre as duas médias (em pontos percentuais), calculada sobre os valores arredondados para que bata com as colunas impressas. Última linha: média do HHI anual de T4 em cada período; variação em pontos. Optou-se pela média simples das participações anuais, e não pela razão entre médias de valores, porque é a leitura mais direta do que o leitor vê na Figura 1; a diferença entre os dois critérios é de décimos de ponto.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Leitura principal: nos semicondutores, China cai de 8,8% para 6,0% (queda relativa de cerca de um terço) e Japão de 6,0% para 3,7%; Taiwan sobe de 11,7% para 16,5%, Malásia de 29,3% para 34,8%, México de 2,3% para 4,4%; Coreia e Vietnã quase estáveis. No total, China cai de 21,0% para 16,8% (queda relativa de um quinto), México e Vietnã sobem. O HHI dos semicondutores sobe de 1.489 para 1.815 (concentração maior), enquanto o do total recua de 904 para 779. Leitura para a hipótese: a reorganização é mais forte no setor do que no agregado, e no setor ela concentrou (Malásia e Taiwan) em vez de diversificar.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Validação (29/09): recomputada por segundo caminho, com pandas direto do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comtrade_consolidado.csv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(sem passar por T2 e T4): China 8,75 e 6,0; Taiwan 11,7 e 16,5; Malásia 29,3 e 34,8; México 2,3 e 4,4; HHI 1.489 e 1.815. Tudo igual. A média da China no pré é exatamente 8,750, arredondada para 8,8. Para evitar diferenças de arredondamento, T2 passou a gravar as participações com quatro decimais (antes, dois); os valores exibidos não mudam.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Formato na monografia: padrão IBGE/ABNT (sem bordas laterais, linhas horizontais só no topo, abaixo do cabeçalho, antes do HHI e no fim), título acima, fonte e notas abaixo em 10 pt.</w:t>
      </w:r>
    </w:p>
    <w:bookmarkEnd w:id="27"/>
    <w:bookmarkStart w:id="28" w:name="X2303cde470c4aca07681a0fc53a0ae55d1e2108"/>
    <w:p>
      <w:pPr>
        <w:pStyle w:val="Heading3"/>
        <w:spacing w:line="360" w:lineRule="auto" w:before="240" w:after="120"/>
        <w:jc w:val="left"/>
      </w:pPr>
      <w:r>
        <w:rPr>
          <w:rFonts w:ascii="Times New Roman" w:hAnsi="Times New Roman"/>
          <w:b/>
          <w:sz w:val="24"/>
        </w:rPr>
        <w:t xml:space="preserve">Tabela 2 (cap. 3, seção 3.3.1). Principais destinos das exportações chinesas de semicondutores: posição e participação nas médias de 2013-2017 e 2019-2024</w:t>
      </w:r>
    </w:p>
    <w:p>
      <w:pPr>
        <w:pStyle w:val="FirstParagraph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Arquivo: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tratados\Tabela2_cap3.csv</w:t>
      </w:r>
      <w:r>
        <w:rPr>
          <w:rFonts w:ascii="Times New Roman" w:hAnsi="Times New Roman"/>
          <w:sz w:val="24"/>
        </w:rPr>
        <w:t xml:space="preserve">. Gerada por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scripts\tabela2_cap3.py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em 29/09/2026 a partir de T1. Inserida no consolidado de 29/09, logo após a Figura 1.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Pergunta: o lado chinês da composição geográfica, pedido pelo orientador: para onde a China passou a exportar semicondutores depois de 2018 e se o mapa de destinos mudou mais no setor do que no total.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Cálculo: os doze maiores destinos pela média de 2019-2024; para cada um, posição e participação nos dois períodos (participação = média das exportações ao destino no período dividida pela média do total exportado, critério de T1), variação em pontos percentuais sobre os valores arredondados e, como contraste, a posição do mesmo destino nas exportações totais da China em 2019-2024. Nomes traduzidos (Hong Kong, Coreia do Sul, Taiwan, Vietnã, Malásia, Cingapura, Índia, Japão, Estados Unidos, Alemanha, Filipinas, Tailândia).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Observação sobre o critério: Tabela 1 usa média simples das participações anuais e Tabela 2 usa razão entre médias de valores. São critérios próximos (diferença de décimos de ponto) e cada um segue a tabela-base de que deriva (T2 e T1); a nota de fonte de cada tabela diz qual foi usado.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Leitura principal: Hong Kong continua o primeiro destino, mas cai de 55,6% para 42,6%; Coreia do Sul passa de 3º para 2º (9,3% para 13,1%); Taiwan de 2º para 3º (11,8% para 12,8%); Vietnã salta do 8º para o 4º (2,0% para 8,8%), a maior variação positiva; Índia do 12º para o 7º; Cingapura cai do 4º para o 6º; Estados Unidos caem do 6º para o 9º (2,8% para 1,5%), embora sigam o 1º destino no total. O contraste com a última coluna mostra que o mapa de destinos de semicondutores é asiático e diferente do mapa do comércio total.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Validação (29/09): recomputada por segundo caminho com pandas direto do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comtrade_consolidado.csv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(sem passar por T1): os doze destinos, as posições no pré e as participações nos dois períodos coincidem.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Formato na monografia: padrão IBGE/ABNT, título acima, fonte e notas abaixo em 10 pt; começa em página nova para não quebrar.</w:t>
      </w:r>
    </w:p>
    <w:bookmarkEnd w:id="28"/>
    <w:bookmarkStart w:id="29" w:name="X571b92b1e40b785e4929cd4b267c5c793e6ff2c"/>
    <w:p>
      <w:pPr>
        <w:pStyle w:val="Heading3"/>
        <w:spacing w:line="360" w:lineRule="auto" w:before="240" w:after="120"/>
        <w:jc w:val="left"/>
      </w:pPr>
      <w:r>
        <w:rPr>
          <w:rFonts w:ascii="Times New Roman" w:hAnsi="Times New Roman"/>
          <w:b/>
          <w:sz w:val="24"/>
        </w:rPr>
        <w:t xml:space="preserve">Figura 2 (cap. 3, seção 3.3.2). Participação do valor adicionado doméstico nas exportações brutas de computadores, produtos eletrônicos e ópticos (atividade C26), economias selecionadas, 2005-2022</w:t>
      </w:r>
    </w:p>
    <w:p>
      <w:pPr>
        <w:pStyle w:val="FirstParagraph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Arquivo: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figuras\Figura_2.png</w:t>
      </w:r>
      <w:r>
        <w:rPr>
          <w:rFonts w:ascii="Times New Roman" w:hAnsi="Times New Roman"/>
          <w:sz w:val="24"/>
        </w:rPr>
        <w:t xml:space="preserve">. Gerada por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figuras.py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(função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fig2</w:t>
      </w:r>
      <w:r>
        <w:rPr>
          <w:rFonts w:ascii="Times New Roman" w:hAnsi="Times New Roman"/>
          <w:sz w:val="24"/>
        </w:rPr>
        <w:t xml:space="preserve">) em 29/09/2026 a partir de T3 (indicador EXGR_DVA em participação, TiVA 2025, contraparte Mundo). Inserida no consolidado de 29/09, seção 3.3.2.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Pergunta: se a realocação do comércio bruto veio acompanhada de mudança em quem captura valor, que é o que a hipótese pede e o comércio bruto não responde. Séries: China, Taiwan, Coreia do Sul, Vietnã, México e, como referência de economia a montante, Estados Unidos.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Regras gráficas: mesmas da Figura 1 (preto e branco, traços e marcadores distintos, faixa cinza pós-2018, 300 dpi, fonte serifada). Eixo vertical de 30% a 100% para acomodar os Estados Unidos sem achatar as demais séries.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Leitura principal: Taiwan sobe de 52,8% (2010) para 71,2% (2022), e a maior parte da subida ocorre depois de 2014, chegando ao patamar de China e Coreia (em torno de 71-73%) justamente no pós-2018; China oscila entre 68% e 73% desde 2010; Coreia entre 63% e 73%, com queda em 2022; Vietnã cai de 53,9% (2010) para 44,2% (2022) e México fica em torno de 45%, o padrão de quem monta insumos importados; Estados Unidos entre 89% e 95%. Leitura para a hipótese: a realocação para Vietnã e México (Tabelas 1 e 2) não veio com aumento de captura de valor nessas economias; nas três do Leste Asiático, quem mais mudou foi Taiwan, que passou a reter mais valor ao mesmo tempo em que ganhou participação nas importações americanas.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Validação (29/09): valores de TWN, CHN e VNM em 2010, 2018 e 2022 conferidos diretamente nos arquivos SDMX brutos (</w:t>
      </w:r>
      <w:r>
        <w:rPr>
          <w:rStyle w:val="VerbatimChar"/>
          <w:rFonts w:ascii="Courier New" w:hAnsi="Courier New"/>
          <w:sz w:val="22"/>
        </w:rPr>
        <w:t xml:space="preserve">brutos\tiva\shares_*.csv</w:t>
      </w:r>
      <w:r>
        <w:rPr>
          <w:rFonts w:ascii="Times New Roman" w:hAnsi="Times New Roman"/>
          <w:sz w:val="24"/>
        </w:rPr>
        <w:t xml:space="preserve">, filtro MEASURE=EXGR_DVA, ACTIVITY=C26, COUNTERPART_AREA=W), sem passar por T3: idênticos.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Limite declarado (seção 2.7): C26 é mais amplo que semicondutores; a base termina em 2022.</w:t>
      </w:r>
    </w:p>
    <w:bookmarkEnd w:id="29"/>
    <w:bookmarkStart w:id="30" w:name="X7ff484b567360dd0030fb326d78ea52ec02360b"/>
    <w:p>
      <w:pPr>
        <w:pStyle w:val="Heading3"/>
        <w:spacing w:line="360" w:lineRule="auto" w:before="240" w:after="120"/>
        <w:jc w:val="left"/>
      </w:pPr>
      <w:r>
        <w:rPr>
          <w:rFonts w:ascii="Times New Roman" w:hAnsi="Times New Roman"/>
          <w:b/>
          <w:sz w:val="24"/>
        </w:rPr>
        <w:t xml:space="preserve">Tabela 3 (cap. 4, adendo 4.3). Produção e reservas de terras raras por país, 2024-2025</w:t>
      </w:r>
    </w:p>
    <w:p>
      <w:pPr>
        <w:pStyle w:val="FirstParagraph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Arquivo: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tratados\Tabela3_cap4.csv</w:t>
      </w:r>
      <w:r>
        <w:rPr>
          <w:rFonts w:ascii="Times New Roman" w:hAnsi="Times New Roman"/>
          <w:sz w:val="24"/>
        </w:rPr>
        <w:t xml:space="preserve">. Gerada por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scripts\tabela3_cap4.py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em 29/09/2026 a partir da transcrição conferida do USGS (</w:t>
      </w:r>
      <w:r>
        <w:rPr>
          <w:rStyle w:val="VerbatimChar"/>
          <w:rFonts w:ascii="Courier New" w:hAnsi="Courier New"/>
          <w:sz w:val="22"/>
        </w:rPr>
        <w:t xml:space="preserve">brutos\usgs\usgs_mcs2026_terras_raras.csv</w:t>
      </w:r>
      <w:r>
        <w:rPr>
          <w:rFonts w:ascii="Times New Roman" w:hAnsi="Times New Roman"/>
          <w:sz w:val="24"/>
        </w:rPr>
        <w:t xml:space="preserve">). Inserida no consolidado de 29/09, seção 4.3.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Pergunta: onde o Brasil está na cadeia de minerais críticos que alimenta os semicondutores e os ímãs, e quão concentrada é a produção, para sustentar o adendo pedido pelo orientador.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Cálculo: países ordenados pelas reservas (decrescente); os sem reserva reportada vêm depois, ordenados pela produção de 2025; participações na produção sobre o total mundial de 2025 (390.000 t) e nas reservas sobre 85.000.000 t. Como a fonte informa as reservas mundiais como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</w:t>
      </w:r>
      <w:r>
        <w:rPr>
          <w:rFonts w:ascii="Times New Roman" w:hAnsi="Times New Roman"/>
          <w:sz w:val="24"/>
        </w:rPr>
        <w:t xml:space="preserve">mais de 85 milhões</w:t>
      </w:r>
      <w:r>
        <w:rPr>
          <w:rFonts w:ascii="Times New Roman" w:hAnsi="Times New Roman"/>
          <w:sz w:val="24"/>
        </w:rPr>
        <w:t xml:space="preserve">”</w:t>
      </w:r>
      <w:r>
        <w:rPr>
          <w:rFonts w:ascii="Times New Roman" w:hAnsi="Times New Roman"/>
          <w:sz w:val="24"/>
        </w:rPr>
        <w:t xml:space="preserve">, as participações nas reservas são um teto (o Brasil tem até 24,7%, por exemplo). Nomes traduzidos. Unidade: toneladas de óxidos de terras raras (REO), como na fonte.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Leitura principal: a China produz 69,2% e detém 51,8% das reservas; o Brasil tem a segunda maior reserva (21 milhões de t, 24,7%) e produz 0,5% (2.000 t estimadas em 2025, contra 560 em 2024); Estados Unidos produzem 13,1% com 2,2% das reservas; Mianmar é o terceiro produtor (5,6%) sem reserva reportada; Austrália 7,4% nos dois. O contraste reserva x produção do Brasil é o dado que abre o adendo, e a concentração chinesa na mineração (e, pela CGEE, no refino) é o ponto de estrangulamento no sentido de Farrell e Newman.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Validação (29/09): a transcrição já tinha sido conferida célula a célula contra o PDF em 28/09; as participações batem com o que a CGEE (2026) reporta a partir da mesma família de dados (Brasil com cerca de 25% das reservas, 21 Mt, segunda atrás da China; China com 69% da mineração em 2024), o que serve de segundo caminho.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Ressalva da fonte: reservas de alguns países seguem critérios distintos (Austrália informa 6,3 Mt, mas as reservas no padrão JORC eram 3,3 Mt); a China e Mianmar têm cotas de produção. Registrado na nota da tabela.</w:t>
      </w:r>
    </w:p>
    <w:bookmarkEnd w:id="30"/>
    <w:bookmarkStart w:id="31" w:name="Xf1efeec2890488c08c6ce809349966cf3c22b4e"/>
    <w:p>
      <w:pPr>
        <w:pStyle w:val="Heading3"/>
        <w:spacing w:line="360" w:lineRule="auto" w:before="240" w:after="120"/>
        <w:jc w:val="left"/>
      </w:pPr>
      <w:r>
        <w:rPr>
          <w:rFonts w:ascii="Times New Roman" w:hAnsi="Times New Roman"/>
          <w:b/>
          <w:sz w:val="24"/>
        </w:rPr>
        <w:t xml:space="preserve">USGS. Produção e reservas de terras raras por país</w:t>
      </w:r>
    </w:p>
    <w:p>
      <w:pPr>
        <w:pStyle w:val="FirstParagraph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Arquivo: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brutos\usgs\usgs_mcs2026_terras_raras.csv</w:t>
      </w:r>
      <w:r>
        <w:rPr>
          <w:rFonts w:ascii="Times New Roman" w:hAnsi="Times New Roman"/>
          <w:sz w:val="24"/>
        </w:rPr>
        <w:t xml:space="preserve">, com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Courier New" w:hAnsi="Courier New"/>
          <w:sz w:val="22"/>
        </w:rPr>
        <w:t xml:space="preserve">LEIA-ME.txt</w:t>
      </w:r>
      <w:r>
        <w:rPr>
          <w:rFonts w:ascii="Times New Roman" w:hAnsi="Times New Roman"/>
          <w:sz w:val="24"/>
        </w:rPr>
        <w:t xml:space="preserve">. Transcrita em 25/09/2026 da tabela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</w:t>
      </w:r>
      <w:r>
        <w:rPr>
          <w:rFonts w:ascii="Times New Roman" w:hAnsi="Times New Roman"/>
          <w:sz w:val="24"/>
        </w:rPr>
        <w:t xml:space="preserve">World Mine Production and Reserves</w:t>
      </w:r>
      <w:r>
        <w:rPr>
          <w:rFonts w:ascii="Times New Roman" w:hAnsi="Times New Roman"/>
          <w:sz w:val="24"/>
        </w:rPr>
        <w:t xml:space="preserve">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 Johnston (2026), Mineral Commodity Summaries 2026, USGS, em toneladas de óxidos de terras raras. Conferida célula a célula contra o PDF em 28/09/2026: todos os valores batem; os expoentes junto aos números no PDF são chamadas de nota da tabela, não dígitos. Ressalva da própria fonte: as reservas reportadas por alguns países seguem critérios distintos (a Austrália, por exemplo, informa 6,3 Mt, mas as reservas em padrão JORC eram 3,3 Mt).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Uso na monografia: tabela do adendo 4.3 (Brasil como segunda maior reserva; China dominante na produção).</w:t>
      </w:r>
    </w:p>
    <w:bookmarkEnd w:id="31"/>
    <w:bookmarkEnd w:id="32"/>
    <w:bookmarkStart w:id="33" w:name="X12ad1354622a8060b6bad1d20f5e3232a31f530"/>
    <w:p>
      <w:pPr>
        <w:pStyle w:val="Heading2"/>
        <w:spacing w:line="360" w:lineRule="auto" w:before="240" w:after="120"/>
        <w:jc w:val="left"/>
      </w:pPr>
      <w:r>
        <w:rPr>
          <w:rFonts w:ascii="Times New Roman" w:hAnsi="Times New Roman"/>
          <w:b/>
          <w:sz w:val="24"/>
        </w:rPr>
        <w:t xml:space="preserve">4. Tabelas e figuras ainda a construir (a partir das bases acima)</w:t>
      </w:r>
    </w:p>
    <w:p>
      <w:pPr>
        <w:pStyle w:val="FirstParagraph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Todas as peças previstas para os capítulos 3 e 4 estão geradas. Novas peças, se surgirem na redação, ganham ficha aqui no dia em que forem geradas.</w:t>
      </w:r>
    </w:p>
    <w:bookmarkEnd w:id="33"/>
    <w:bookmarkStart w:id="34" w:name="histórico-de-versões"/>
    <w:p>
      <w:pPr>
        <w:pStyle w:val="Heading2"/>
        <w:spacing w:line="360" w:lineRule="auto" w:before="240" w:after="120"/>
        <w:jc w:val="left"/>
      </w:pPr>
      <w:r>
        <w:rPr>
          <w:rFonts w:ascii="Times New Roman" w:hAnsi="Times New Roman"/>
          <w:b/>
          <w:sz w:val="24"/>
        </w:rPr>
        <w:t xml:space="preserve">5. Histórico de versões</w:t>
      </w:r>
    </w:p>
    <w:p>
      <w:pPr>
        <w:pStyle w:val="FirstParagraph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25/09/2026: coleta Comtrade 2013-2024 (TOTAL, 8541, 8542); TiVA 2025; USGS transcrito; T1, T2 e T3 v1; validação de cinco células.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28/09/2026: coleta estendida a 1995-2024; descoberta de que o grupo 8541.4 (fotovoltaicas e LEDs) é 57-82% da posição 8541; coleta de 854140 e de 854141/42/43/49; regra SEMICOND = 8541 + 8542 menos 8541.4; T1 a T4 regeradas; USGS conferido célula a célula; quatro células adicionais validadas; versão anterior da T1 arquivada.</w:t>
      </w:r>
    </w:p>
    <w:p>
      <w:pPr>
        <w:pStyle w:val="BodyText"/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29/09/2026: Figura 1 gerada e aprovada; este memorial criado; Tabelas 1 e 2 e Figura 2 do cap. 3 geradas, validadas por segundo caminho e aprovadas pelo Nicolas; Tabela 3 (terras raras, adendo 4.3) gerada; T2 regerada com quatro decimais (sem mudança de regra).</w:t>
      </w:r>
    </w:p>
    <w:bookmarkEnd w:id="34"/>
    <w:bookmarkEnd w:id="35"/>
    <w:sectPr>
      <w:pgSz w:h="16838" w:w="11906"/>
      <w:pgMar w:bottom="1134" w:left="1701" w:right="1134" w:top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360" w:lineRule="auto"/>
    </w:pPr>
    <w:rPr>
      <w:rFonts w:ascii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0" w:before="180" w:line="360" w:lineRule="auto"/>
      <w:ind w:firstLine="709"/>
      <w:jc w:val="both"/>
    </w:pPr>
    <w:qFormat/>
    <w:rPr>
      <w:rFonts w:ascii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eastAsia="Times New Roman" w:hAnsi="Times New Roman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asciiTheme="majorHAnsi" w:cstheme="majorBidi" w:eastAsia="Times New Roman" w:eastAsiaTheme="majorEastAsia" w:hAnsi="Times New Roman" w:hAnsiTheme="majorHAnsi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theme="majorBidi" w:eastAsia="Times New Roman" w:eastAsiaTheme="majorEastAsia" w:hAnsi="Times New Roman" w:hAnsiTheme="majorHAns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theme="majorBidi" w:eastAsia="Times New Roman" w:eastAsiaTheme="majorEastAsia" w:hAnsi="Times New Roman" w:hAnsiTheme="majorHAns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theme="majorBidi" w:eastAsia="Times New Roman" w:eastAsiaTheme="majorEastAsia" w:hAnsi="Times New Roman" w:hAnsiTheme="majorHAns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theme="majorBidi" w:eastAsia="Times New Roman" w:eastAsiaTheme="majorEastAsia" w:hAnsi="Times New Roman" w:hAnsiTheme="majorHAns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0" w:line="240" w:lineRule="auto"/>
    </w:pPr>
    <w:rPr>
      <w:rFonts w:ascii="Times New Roman" w:eastAsia="Times New Roman" w:hAnsi="Times New Roman"/>
      <w:sz w:val="2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2026-10-13T16:50:30Z</dcterms:created>
  <dcterms:modified xsi:type="dcterms:W3CDTF">2026-10-13T16:50:30Z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