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63235"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60861" w:history="1">
            <w:r w:rsidR="00063235" w:rsidRPr="001B73BE">
              <w:rPr>
                <w:rStyle w:val="Lienhypertexte"/>
                <w:noProof/>
              </w:rPr>
              <w:t>Introduction</w:t>
            </w:r>
            <w:r w:rsidR="00063235">
              <w:rPr>
                <w:noProof/>
                <w:webHidden/>
              </w:rPr>
              <w:tab/>
            </w:r>
            <w:r w:rsidR="00063235">
              <w:rPr>
                <w:noProof/>
                <w:webHidden/>
              </w:rPr>
              <w:fldChar w:fldCharType="begin"/>
            </w:r>
            <w:r w:rsidR="00063235">
              <w:rPr>
                <w:noProof/>
                <w:webHidden/>
              </w:rPr>
              <w:instrText xml:space="preserve"> PAGEREF _Toc33460861 \h </w:instrText>
            </w:r>
            <w:r w:rsidR="00063235">
              <w:rPr>
                <w:noProof/>
                <w:webHidden/>
              </w:rPr>
            </w:r>
            <w:r w:rsidR="00063235">
              <w:rPr>
                <w:noProof/>
                <w:webHidden/>
              </w:rPr>
              <w:fldChar w:fldCharType="separate"/>
            </w:r>
            <w:r w:rsidR="00063235">
              <w:rPr>
                <w:noProof/>
                <w:webHidden/>
              </w:rPr>
              <w:t>3</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62" w:history="1">
            <w:r w:rsidR="00063235" w:rsidRPr="001B73BE">
              <w:rPr>
                <w:rStyle w:val="Lienhypertexte"/>
                <w:noProof/>
              </w:rPr>
              <w:t>Contexte</w:t>
            </w:r>
            <w:r w:rsidR="00063235">
              <w:rPr>
                <w:noProof/>
                <w:webHidden/>
              </w:rPr>
              <w:tab/>
            </w:r>
            <w:r w:rsidR="00063235">
              <w:rPr>
                <w:noProof/>
                <w:webHidden/>
              </w:rPr>
              <w:fldChar w:fldCharType="begin"/>
            </w:r>
            <w:r w:rsidR="00063235">
              <w:rPr>
                <w:noProof/>
                <w:webHidden/>
              </w:rPr>
              <w:instrText xml:space="preserve"> PAGEREF _Toc33460862 \h </w:instrText>
            </w:r>
            <w:r w:rsidR="00063235">
              <w:rPr>
                <w:noProof/>
                <w:webHidden/>
              </w:rPr>
            </w:r>
            <w:r w:rsidR="00063235">
              <w:rPr>
                <w:noProof/>
                <w:webHidden/>
              </w:rPr>
              <w:fldChar w:fldCharType="separate"/>
            </w:r>
            <w:r w:rsidR="00063235">
              <w:rPr>
                <w:noProof/>
                <w:webHidden/>
              </w:rPr>
              <w:t>3</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63" w:history="1">
            <w:r w:rsidR="00063235" w:rsidRPr="001B73BE">
              <w:rPr>
                <w:rStyle w:val="Lienhypertexte"/>
                <w:noProof/>
              </w:rPr>
              <w:t>Problématiques</w:t>
            </w:r>
            <w:r w:rsidR="00063235">
              <w:rPr>
                <w:noProof/>
                <w:webHidden/>
              </w:rPr>
              <w:tab/>
            </w:r>
            <w:r w:rsidR="00063235">
              <w:rPr>
                <w:noProof/>
                <w:webHidden/>
              </w:rPr>
              <w:fldChar w:fldCharType="begin"/>
            </w:r>
            <w:r w:rsidR="00063235">
              <w:rPr>
                <w:noProof/>
                <w:webHidden/>
              </w:rPr>
              <w:instrText xml:space="preserve"> PAGEREF _Toc33460863 \h </w:instrText>
            </w:r>
            <w:r w:rsidR="00063235">
              <w:rPr>
                <w:noProof/>
                <w:webHidden/>
              </w:rPr>
            </w:r>
            <w:r w:rsidR="00063235">
              <w:rPr>
                <w:noProof/>
                <w:webHidden/>
              </w:rPr>
              <w:fldChar w:fldCharType="separate"/>
            </w:r>
            <w:r w:rsidR="00063235">
              <w:rPr>
                <w:noProof/>
                <w:webHidden/>
              </w:rPr>
              <w:t>4</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64" w:history="1">
            <w:r w:rsidR="00063235" w:rsidRPr="001B73BE">
              <w:rPr>
                <w:rStyle w:val="Lienhypertexte"/>
                <w:noProof/>
              </w:rPr>
              <w:t>Critères d’analyse</w:t>
            </w:r>
            <w:r w:rsidR="00063235">
              <w:rPr>
                <w:noProof/>
                <w:webHidden/>
              </w:rPr>
              <w:tab/>
            </w:r>
            <w:r w:rsidR="00063235">
              <w:rPr>
                <w:noProof/>
                <w:webHidden/>
              </w:rPr>
              <w:fldChar w:fldCharType="begin"/>
            </w:r>
            <w:r w:rsidR="00063235">
              <w:rPr>
                <w:noProof/>
                <w:webHidden/>
              </w:rPr>
              <w:instrText xml:space="preserve"> PAGEREF _Toc33460864 \h </w:instrText>
            </w:r>
            <w:r w:rsidR="00063235">
              <w:rPr>
                <w:noProof/>
                <w:webHidden/>
              </w:rPr>
            </w:r>
            <w:r w:rsidR="00063235">
              <w:rPr>
                <w:noProof/>
                <w:webHidden/>
              </w:rPr>
              <w:fldChar w:fldCharType="separate"/>
            </w:r>
            <w:r w:rsidR="00063235">
              <w:rPr>
                <w:noProof/>
                <w:webHidden/>
              </w:rPr>
              <w:t>4</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65" w:history="1">
            <w:r w:rsidR="00063235" w:rsidRPr="001B73BE">
              <w:rPr>
                <w:rStyle w:val="Lienhypertexte"/>
                <w:noProof/>
              </w:rPr>
              <w:t>Sécurité</w:t>
            </w:r>
            <w:r w:rsidR="00063235">
              <w:rPr>
                <w:noProof/>
                <w:webHidden/>
              </w:rPr>
              <w:tab/>
            </w:r>
            <w:r w:rsidR="00063235">
              <w:rPr>
                <w:noProof/>
                <w:webHidden/>
              </w:rPr>
              <w:fldChar w:fldCharType="begin"/>
            </w:r>
            <w:r w:rsidR="00063235">
              <w:rPr>
                <w:noProof/>
                <w:webHidden/>
              </w:rPr>
              <w:instrText xml:space="preserve"> PAGEREF _Toc33460865 \h </w:instrText>
            </w:r>
            <w:r w:rsidR="00063235">
              <w:rPr>
                <w:noProof/>
                <w:webHidden/>
              </w:rPr>
            </w:r>
            <w:r w:rsidR="00063235">
              <w:rPr>
                <w:noProof/>
                <w:webHidden/>
              </w:rPr>
              <w:fldChar w:fldCharType="separate"/>
            </w:r>
            <w:r w:rsidR="00063235">
              <w:rPr>
                <w:noProof/>
                <w:webHidden/>
              </w:rPr>
              <w:t>5</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66" w:history="1">
            <w:r w:rsidR="00063235" w:rsidRPr="001B73BE">
              <w:rPr>
                <w:rStyle w:val="Lienhypertexte"/>
                <w:noProof/>
              </w:rPr>
              <w:t>Base de données</w:t>
            </w:r>
            <w:r w:rsidR="00063235">
              <w:rPr>
                <w:noProof/>
                <w:webHidden/>
              </w:rPr>
              <w:tab/>
            </w:r>
            <w:r w:rsidR="00063235">
              <w:rPr>
                <w:noProof/>
                <w:webHidden/>
              </w:rPr>
              <w:fldChar w:fldCharType="begin"/>
            </w:r>
            <w:r w:rsidR="00063235">
              <w:rPr>
                <w:noProof/>
                <w:webHidden/>
              </w:rPr>
              <w:instrText xml:space="preserve"> PAGEREF _Toc33460866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67" w:history="1">
            <w:r w:rsidR="00063235" w:rsidRPr="001B73BE">
              <w:rPr>
                <w:rStyle w:val="Lienhypertexte"/>
                <w:noProof/>
              </w:rPr>
              <w:t>Interface web</w:t>
            </w:r>
            <w:r w:rsidR="00063235">
              <w:rPr>
                <w:noProof/>
                <w:webHidden/>
              </w:rPr>
              <w:tab/>
            </w:r>
            <w:r w:rsidR="00063235">
              <w:rPr>
                <w:noProof/>
                <w:webHidden/>
              </w:rPr>
              <w:fldChar w:fldCharType="begin"/>
            </w:r>
            <w:r w:rsidR="00063235">
              <w:rPr>
                <w:noProof/>
                <w:webHidden/>
              </w:rPr>
              <w:instrText xml:space="preserve"> PAGEREF _Toc33460867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68" w:history="1">
            <w:r w:rsidR="00063235" w:rsidRPr="001B73BE">
              <w:rPr>
                <w:rStyle w:val="Lienhypertexte"/>
                <w:noProof/>
              </w:rPr>
              <w:t>Travail à effectuer</w:t>
            </w:r>
            <w:r w:rsidR="00063235">
              <w:rPr>
                <w:noProof/>
                <w:webHidden/>
              </w:rPr>
              <w:tab/>
            </w:r>
            <w:r w:rsidR="00063235">
              <w:rPr>
                <w:noProof/>
                <w:webHidden/>
              </w:rPr>
              <w:fldChar w:fldCharType="begin"/>
            </w:r>
            <w:r w:rsidR="00063235">
              <w:rPr>
                <w:noProof/>
                <w:webHidden/>
              </w:rPr>
              <w:instrText xml:space="preserve"> PAGEREF _Toc33460868 \h </w:instrText>
            </w:r>
            <w:r w:rsidR="00063235">
              <w:rPr>
                <w:noProof/>
                <w:webHidden/>
              </w:rPr>
            </w:r>
            <w:r w:rsidR="00063235">
              <w:rPr>
                <w:noProof/>
                <w:webHidden/>
              </w:rPr>
              <w:fldChar w:fldCharType="separate"/>
            </w:r>
            <w:r w:rsidR="00063235">
              <w:rPr>
                <w:noProof/>
                <w:webHidden/>
              </w:rPr>
              <w:t>6</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69" w:history="1">
            <w:r w:rsidR="00063235" w:rsidRPr="001B73BE">
              <w:rPr>
                <w:rStyle w:val="Lienhypertexte"/>
                <w:noProof/>
              </w:rPr>
              <w:t>Etape 1</w:t>
            </w:r>
            <w:r w:rsidR="00063235">
              <w:rPr>
                <w:noProof/>
                <w:webHidden/>
              </w:rPr>
              <w:tab/>
            </w:r>
            <w:r w:rsidR="00063235">
              <w:rPr>
                <w:noProof/>
                <w:webHidden/>
              </w:rPr>
              <w:fldChar w:fldCharType="begin"/>
            </w:r>
            <w:r w:rsidR="00063235">
              <w:rPr>
                <w:noProof/>
                <w:webHidden/>
              </w:rPr>
              <w:instrText xml:space="preserve"> PAGEREF _Toc33460869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70" w:history="1">
            <w:r w:rsidR="00063235" w:rsidRPr="001B73BE">
              <w:rPr>
                <w:rStyle w:val="Lienhypertexte"/>
                <w:noProof/>
              </w:rPr>
              <w:t>Etape 2</w:t>
            </w:r>
            <w:r w:rsidR="00063235">
              <w:rPr>
                <w:noProof/>
                <w:webHidden/>
              </w:rPr>
              <w:tab/>
            </w:r>
            <w:r w:rsidR="00063235">
              <w:rPr>
                <w:noProof/>
                <w:webHidden/>
              </w:rPr>
              <w:fldChar w:fldCharType="begin"/>
            </w:r>
            <w:r w:rsidR="00063235">
              <w:rPr>
                <w:noProof/>
                <w:webHidden/>
              </w:rPr>
              <w:instrText xml:space="preserve"> PAGEREF _Toc33460870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71" w:history="1">
            <w:r w:rsidR="00063235" w:rsidRPr="001B73BE">
              <w:rPr>
                <w:rStyle w:val="Lienhypertexte"/>
                <w:noProof/>
              </w:rPr>
              <w:t>Etape 3</w:t>
            </w:r>
            <w:r w:rsidR="00063235">
              <w:rPr>
                <w:noProof/>
                <w:webHidden/>
              </w:rPr>
              <w:tab/>
            </w:r>
            <w:r w:rsidR="00063235">
              <w:rPr>
                <w:noProof/>
                <w:webHidden/>
              </w:rPr>
              <w:fldChar w:fldCharType="begin"/>
            </w:r>
            <w:r w:rsidR="00063235">
              <w:rPr>
                <w:noProof/>
                <w:webHidden/>
              </w:rPr>
              <w:instrText xml:space="preserve"> PAGEREF _Toc33460871 \h </w:instrText>
            </w:r>
            <w:r w:rsidR="00063235">
              <w:rPr>
                <w:noProof/>
                <w:webHidden/>
              </w:rPr>
            </w:r>
            <w:r w:rsidR="00063235">
              <w:rPr>
                <w:noProof/>
                <w:webHidden/>
              </w:rPr>
              <w:fldChar w:fldCharType="separate"/>
            </w:r>
            <w:r w:rsidR="00063235">
              <w:rPr>
                <w:noProof/>
                <w:webHidden/>
              </w:rPr>
              <w:t>7</w:t>
            </w:r>
            <w:r w:rsidR="00063235">
              <w:rPr>
                <w:noProof/>
                <w:webHidden/>
              </w:rPr>
              <w:fldChar w:fldCharType="end"/>
            </w:r>
          </w:hyperlink>
        </w:p>
        <w:p w:rsidR="00063235" w:rsidRDefault="00670C69">
          <w:pPr>
            <w:pStyle w:val="TM2"/>
            <w:tabs>
              <w:tab w:val="right" w:leader="dot" w:pos="9062"/>
            </w:tabs>
            <w:rPr>
              <w:rFonts w:asciiTheme="minorHAnsi" w:eastAsiaTheme="minorEastAsia" w:hAnsiTheme="minorHAnsi"/>
              <w:noProof/>
              <w:sz w:val="22"/>
              <w:lang w:eastAsia="fr-CH"/>
            </w:rPr>
          </w:pPr>
          <w:hyperlink w:anchor="_Toc33460872" w:history="1">
            <w:r w:rsidR="00063235" w:rsidRPr="001B73BE">
              <w:rPr>
                <w:rStyle w:val="Lienhypertexte"/>
                <w:noProof/>
              </w:rPr>
              <w:t>Etape 4</w:t>
            </w:r>
            <w:r w:rsidR="00063235">
              <w:rPr>
                <w:noProof/>
                <w:webHidden/>
              </w:rPr>
              <w:tab/>
            </w:r>
            <w:r w:rsidR="00063235">
              <w:rPr>
                <w:noProof/>
                <w:webHidden/>
              </w:rPr>
              <w:fldChar w:fldCharType="begin"/>
            </w:r>
            <w:r w:rsidR="00063235">
              <w:rPr>
                <w:noProof/>
                <w:webHidden/>
              </w:rPr>
              <w:instrText xml:space="preserve"> PAGEREF _Toc33460872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3" w:history="1">
            <w:r w:rsidR="00063235" w:rsidRPr="001B73BE">
              <w:rPr>
                <w:rStyle w:val="Lienhypertexte"/>
                <w:noProof/>
              </w:rPr>
              <w:t>Planification</w:t>
            </w:r>
            <w:r w:rsidR="00063235">
              <w:rPr>
                <w:noProof/>
                <w:webHidden/>
              </w:rPr>
              <w:tab/>
            </w:r>
            <w:r w:rsidR="00063235">
              <w:rPr>
                <w:noProof/>
                <w:webHidden/>
              </w:rPr>
              <w:fldChar w:fldCharType="begin"/>
            </w:r>
            <w:r w:rsidR="00063235">
              <w:rPr>
                <w:noProof/>
                <w:webHidden/>
              </w:rPr>
              <w:instrText xml:space="preserve"> PAGEREF _Toc33460873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4" w:history="1">
            <w:r w:rsidR="00063235" w:rsidRPr="001B73BE">
              <w:rPr>
                <w:rStyle w:val="Lienhypertexte"/>
                <w:noProof/>
              </w:rPr>
              <w:t>Echéancier</w:t>
            </w:r>
            <w:r w:rsidR="00063235">
              <w:rPr>
                <w:noProof/>
                <w:webHidden/>
              </w:rPr>
              <w:tab/>
            </w:r>
            <w:r w:rsidR="00063235">
              <w:rPr>
                <w:noProof/>
                <w:webHidden/>
              </w:rPr>
              <w:fldChar w:fldCharType="begin"/>
            </w:r>
            <w:r w:rsidR="00063235">
              <w:rPr>
                <w:noProof/>
                <w:webHidden/>
              </w:rPr>
              <w:instrText xml:space="preserve"> PAGEREF _Toc33460874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5" w:history="1">
            <w:r w:rsidR="00063235" w:rsidRPr="001B73BE">
              <w:rPr>
                <w:rStyle w:val="Lienhypertexte"/>
                <w:noProof/>
              </w:rPr>
              <w:t>Rendus</w:t>
            </w:r>
            <w:r w:rsidR="00063235">
              <w:rPr>
                <w:noProof/>
                <w:webHidden/>
              </w:rPr>
              <w:tab/>
            </w:r>
            <w:r w:rsidR="00063235">
              <w:rPr>
                <w:noProof/>
                <w:webHidden/>
              </w:rPr>
              <w:fldChar w:fldCharType="begin"/>
            </w:r>
            <w:r w:rsidR="00063235">
              <w:rPr>
                <w:noProof/>
                <w:webHidden/>
              </w:rPr>
              <w:instrText xml:space="preserve"> PAGEREF _Toc33460875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6" w:history="1">
            <w:r w:rsidR="00063235" w:rsidRPr="001B73BE">
              <w:rPr>
                <w:rStyle w:val="Lienhypertexte"/>
                <w:noProof/>
              </w:rPr>
              <w:t>Conclusion</w:t>
            </w:r>
            <w:r w:rsidR="00063235">
              <w:rPr>
                <w:noProof/>
                <w:webHidden/>
              </w:rPr>
              <w:tab/>
            </w:r>
            <w:r w:rsidR="00063235">
              <w:rPr>
                <w:noProof/>
                <w:webHidden/>
              </w:rPr>
              <w:fldChar w:fldCharType="begin"/>
            </w:r>
            <w:r w:rsidR="00063235">
              <w:rPr>
                <w:noProof/>
                <w:webHidden/>
              </w:rPr>
              <w:instrText xml:space="preserve"> PAGEREF _Toc33460876 \h </w:instrText>
            </w:r>
            <w:r w:rsidR="00063235">
              <w:rPr>
                <w:noProof/>
                <w:webHidden/>
              </w:rPr>
            </w:r>
            <w:r w:rsidR="00063235">
              <w:rPr>
                <w:noProof/>
                <w:webHidden/>
              </w:rPr>
              <w:fldChar w:fldCharType="separate"/>
            </w:r>
            <w:r w:rsidR="00063235">
              <w:rPr>
                <w:noProof/>
                <w:webHidden/>
              </w:rPr>
              <w:t>8</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7" w:history="1">
            <w:r w:rsidR="00063235" w:rsidRPr="001B73BE">
              <w:rPr>
                <w:rStyle w:val="Lienhypertexte"/>
                <w:noProof/>
              </w:rPr>
              <w:t>Sources</w:t>
            </w:r>
            <w:r w:rsidR="00063235">
              <w:rPr>
                <w:noProof/>
                <w:webHidden/>
              </w:rPr>
              <w:tab/>
            </w:r>
            <w:r w:rsidR="00063235">
              <w:rPr>
                <w:noProof/>
                <w:webHidden/>
              </w:rPr>
              <w:fldChar w:fldCharType="begin"/>
            </w:r>
            <w:r w:rsidR="00063235">
              <w:rPr>
                <w:noProof/>
                <w:webHidden/>
              </w:rPr>
              <w:instrText xml:space="preserve"> PAGEREF _Toc33460877 \h </w:instrText>
            </w:r>
            <w:r w:rsidR="00063235">
              <w:rPr>
                <w:noProof/>
                <w:webHidden/>
              </w:rPr>
            </w:r>
            <w:r w:rsidR="00063235">
              <w:rPr>
                <w:noProof/>
                <w:webHidden/>
              </w:rPr>
              <w:fldChar w:fldCharType="separate"/>
            </w:r>
            <w:r w:rsidR="00063235">
              <w:rPr>
                <w:noProof/>
                <w:webHidden/>
              </w:rPr>
              <w:t>9</w:t>
            </w:r>
            <w:r w:rsidR="00063235">
              <w:rPr>
                <w:noProof/>
                <w:webHidden/>
              </w:rPr>
              <w:fldChar w:fldCharType="end"/>
            </w:r>
          </w:hyperlink>
        </w:p>
        <w:p w:rsidR="00063235" w:rsidRDefault="00670C69">
          <w:pPr>
            <w:pStyle w:val="TM1"/>
            <w:tabs>
              <w:tab w:val="right" w:leader="dot" w:pos="9062"/>
            </w:tabs>
            <w:rPr>
              <w:rFonts w:asciiTheme="minorHAnsi" w:eastAsiaTheme="minorEastAsia" w:hAnsiTheme="minorHAnsi"/>
              <w:noProof/>
              <w:sz w:val="22"/>
              <w:lang w:eastAsia="fr-CH"/>
            </w:rPr>
          </w:pPr>
          <w:hyperlink w:anchor="_Toc33460878" w:history="1">
            <w:r w:rsidR="00063235" w:rsidRPr="001B73BE">
              <w:rPr>
                <w:rStyle w:val="Lienhypertexte"/>
                <w:rFonts w:cstheme="minorHAnsi"/>
                <w:noProof/>
                <w:lang w:val="fr-FR"/>
              </w:rPr>
              <w:t>Travaux cités</w:t>
            </w:r>
            <w:r w:rsidR="00063235">
              <w:rPr>
                <w:noProof/>
                <w:webHidden/>
              </w:rPr>
              <w:tab/>
            </w:r>
            <w:r w:rsidR="00063235">
              <w:rPr>
                <w:noProof/>
                <w:webHidden/>
              </w:rPr>
              <w:fldChar w:fldCharType="begin"/>
            </w:r>
            <w:r w:rsidR="00063235">
              <w:rPr>
                <w:noProof/>
                <w:webHidden/>
              </w:rPr>
              <w:instrText xml:space="preserve"> PAGEREF _Toc33460878 \h </w:instrText>
            </w:r>
            <w:r w:rsidR="00063235">
              <w:rPr>
                <w:noProof/>
                <w:webHidden/>
              </w:rPr>
            </w:r>
            <w:r w:rsidR="00063235">
              <w:rPr>
                <w:noProof/>
                <w:webHidden/>
              </w:rPr>
              <w:fldChar w:fldCharType="separate"/>
            </w:r>
            <w:r w:rsidR="00063235">
              <w:rPr>
                <w:noProof/>
                <w:webHidden/>
              </w:rPr>
              <w:t>9</w:t>
            </w:r>
            <w:r w:rsidR="00063235">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60861"/>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60862"/>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60863"/>
      <w:r w:rsidRPr="0054624B">
        <w:t>Problématique</w:t>
      </w:r>
      <w:r w:rsidR="006D0276" w:rsidRPr="0054624B">
        <w:t>s</w:t>
      </w:r>
      <w:bookmarkEnd w:id="2"/>
    </w:p>
    <w:p w:rsidR="00D62550" w:rsidRDefault="00860228" w:rsidP="00860228">
      <w:pPr>
        <w:pStyle w:val="Titre2"/>
      </w:pPr>
      <w:bookmarkStart w:id="3" w:name="_Toc33460864"/>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3460865"/>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5" w:name="_Toc33460866"/>
      <w:r>
        <w:t>Base de données</w:t>
      </w:r>
      <w:bookmarkEnd w:id="5"/>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6" w:name="_Toc33460867"/>
      <w:r>
        <w:lastRenderedPageBreak/>
        <w:t>Interface web</w:t>
      </w:r>
      <w:bookmarkEnd w:id="6"/>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7" w:name="_Toc33460868"/>
      <w:r w:rsidRPr="0054624B">
        <w:t>Travail à effectuer</w:t>
      </w:r>
      <w:bookmarkEnd w:id="7"/>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7E0CA2" w:rsidP="007E0CA2">
      <w:pPr>
        <w:pStyle w:val="Titre2"/>
      </w:pPr>
      <w:bookmarkStart w:id="8" w:name="_Toc33460869"/>
      <w:r>
        <w:t>Etape 1</w:t>
      </w:r>
      <w:bookmarkEnd w:id="8"/>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9" w:name="_Toc33460870"/>
      <w:r>
        <w:t xml:space="preserve">Etape </w:t>
      </w:r>
      <w:r w:rsidR="0044483A">
        <w:t>2</w:t>
      </w:r>
      <w:bookmarkEnd w:id="9"/>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0" w:name="_Toc33460871"/>
      <w:r>
        <w:t xml:space="preserve">Etape </w:t>
      </w:r>
      <w:r w:rsidR="00822B29">
        <w:t>3</w:t>
      </w:r>
      <w:bookmarkEnd w:id="10"/>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Default="007E0CA2" w:rsidP="007E0CA2">
      <w:pPr>
        <w:pStyle w:val="Titre2"/>
      </w:pPr>
      <w:bookmarkStart w:id="11" w:name="_Toc33460872"/>
      <w:r>
        <w:t xml:space="preserve">Etape </w:t>
      </w:r>
      <w:r w:rsidR="00822B29">
        <w:t>4</w:t>
      </w:r>
      <w:bookmarkEnd w:id="11"/>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2" w:name="_Toc33460873"/>
      <w:r w:rsidRPr="0054624B">
        <w:lastRenderedPageBreak/>
        <w:t>Planification</w:t>
      </w:r>
      <w:bookmarkEnd w:id="12"/>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rsidR="00D62550" w:rsidRPr="0054624B" w:rsidRDefault="00D62550" w:rsidP="0054624B">
      <w:pPr>
        <w:pStyle w:val="Titre1"/>
      </w:pPr>
      <w:bookmarkStart w:id="13" w:name="_Toc33460874"/>
      <w:r w:rsidRPr="0054624B">
        <w:t>Echéancier</w:t>
      </w:r>
      <w:bookmarkEnd w:id="13"/>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Etape 2</w:t>
      </w:r>
      <w:r w:rsidR="0037498C">
        <w:rPr>
          <w:rFonts w:cstheme="minorHAnsi"/>
          <w:szCs w:val="20"/>
        </w:rPr>
        <w:t xml:space="preserve"> – État de l’art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w:t>
      </w:r>
      <w:r w:rsidR="00452FD7">
        <w:rPr>
          <w:rFonts w:cstheme="minorHAnsi"/>
          <w:szCs w:val="20"/>
        </w:rPr>
        <w:t>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w:t>
      </w:r>
      <w:r w:rsidR="00452FD7">
        <w:rPr>
          <w:rFonts w:cstheme="minorHAnsi"/>
          <w:szCs w:val="20"/>
        </w:rPr>
        <w:t>Développement</w:t>
      </w:r>
      <w:r>
        <w:rPr>
          <w:rFonts w:cstheme="minorHAnsi"/>
          <w:szCs w:val="20"/>
        </w:rPr>
        <w:tab/>
        <w:t>04.06.2020 – 17.06.2020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w:t>
      </w:r>
      <w:r w:rsidR="00452FD7">
        <w:rPr>
          <w:rFonts w:cstheme="minorHAnsi"/>
          <w:szCs w:val="20"/>
        </w:rPr>
        <w:t>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4" w:name="_Toc33460875"/>
      <w:r w:rsidRPr="0054624B">
        <w:lastRenderedPageBreak/>
        <w:t>Rendus</w:t>
      </w:r>
      <w:bookmarkEnd w:id="14"/>
    </w:p>
    <w:p w:rsidR="00D62550" w:rsidRDefault="00C662F5" w:rsidP="00C662F5">
      <w:pPr>
        <w:pStyle w:val="Titre2"/>
      </w:pPr>
      <w:r>
        <w:t>Rapport</w:t>
      </w:r>
    </w:p>
    <w:p w:rsidR="00C662F5" w:rsidRPr="0054624B" w:rsidRDefault="00C662F5" w:rsidP="00C662F5">
      <w:pPr>
        <w:pStyle w:val="Titre2"/>
      </w:pPr>
      <w:r>
        <w:t>Plateforme web</w:t>
      </w:r>
    </w:p>
    <w:p w:rsidR="00D62550" w:rsidRPr="0054624B" w:rsidRDefault="00D62550" w:rsidP="0054624B">
      <w:pPr>
        <w:pStyle w:val="Titre1"/>
      </w:pPr>
      <w:bookmarkStart w:id="15" w:name="_Toc33460876"/>
      <w:r w:rsidRPr="0054624B">
        <w:t>Conclusion</w:t>
      </w:r>
      <w:bookmarkEnd w:id="15"/>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Puisqu’il est important de pouvoir délivrer un POC à la fin d</w:t>
      </w:r>
      <w:bookmarkStart w:id="16" w:name="_GoBack"/>
      <w:bookmarkEnd w:id="16"/>
      <w:r w:rsidR="00DA3803">
        <w:rPr>
          <w:rFonts w:cstheme="minorHAnsi"/>
          <w:szCs w:val="20"/>
        </w:rPr>
        <w:t xml:space="preserve">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7" w:name="_Toc33460877"/>
      <w:r w:rsidRPr="0054624B">
        <w:t>Sources</w:t>
      </w:r>
      <w:bookmarkEnd w:id="17"/>
    </w:p>
    <w:bookmarkStart w:id="18" w:name="_Toc33460878"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8"/>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default" r:id="rId9"/>
      <w:footerReference w:type="default" r:id="rId10"/>
      <w:headerReference w:type="first" r:id="rId11"/>
      <w:footerReference w:type="first" r:id="rId12"/>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C69" w:rsidRDefault="00670C69" w:rsidP="001A21A8">
      <w:pPr>
        <w:spacing w:after="0" w:line="240" w:lineRule="auto"/>
      </w:pPr>
      <w:r>
        <w:separator/>
      </w:r>
    </w:p>
  </w:endnote>
  <w:endnote w:type="continuationSeparator" w:id="0">
    <w:p w:rsidR="00670C69" w:rsidRDefault="00670C69"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C69" w:rsidRDefault="00670C69" w:rsidP="001A21A8">
      <w:pPr>
        <w:spacing w:after="0" w:line="240" w:lineRule="auto"/>
      </w:pPr>
      <w:r>
        <w:separator/>
      </w:r>
    </w:p>
  </w:footnote>
  <w:footnote w:type="continuationSeparator" w:id="0">
    <w:p w:rsidR="00670C69" w:rsidRDefault="00670C69"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B479A"/>
    <w:rsid w:val="001B5ED2"/>
    <w:rsid w:val="001C0A22"/>
    <w:rsid w:val="00234C9F"/>
    <w:rsid w:val="0025743E"/>
    <w:rsid w:val="0026321A"/>
    <w:rsid w:val="00273FFD"/>
    <w:rsid w:val="00283FF5"/>
    <w:rsid w:val="002919D4"/>
    <w:rsid w:val="00295CE8"/>
    <w:rsid w:val="002A4510"/>
    <w:rsid w:val="002A466B"/>
    <w:rsid w:val="002E7524"/>
    <w:rsid w:val="003445CF"/>
    <w:rsid w:val="003708FA"/>
    <w:rsid w:val="0037498C"/>
    <w:rsid w:val="0044483A"/>
    <w:rsid w:val="00452FD7"/>
    <w:rsid w:val="00461A73"/>
    <w:rsid w:val="00481835"/>
    <w:rsid w:val="00484A1F"/>
    <w:rsid w:val="004C24BF"/>
    <w:rsid w:val="004E464F"/>
    <w:rsid w:val="004E54D9"/>
    <w:rsid w:val="0054624B"/>
    <w:rsid w:val="00580BEE"/>
    <w:rsid w:val="00594EC9"/>
    <w:rsid w:val="00620977"/>
    <w:rsid w:val="00622F35"/>
    <w:rsid w:val="006266A5"/>
    <w:rsid w:val="00654BFD"/>
    <w:rsid w:val="00664D0A"/>
    <w:rsid w:val="00670C69"/>
    <w:rsid w:val="006A7E8E"/>
    <w:rsid w:val="006B1312"/>
    <w:rsid w:val="006D0276"/>
    <w:rsid w:val="006D0BBD"/>
    <w:rsid w:val="00704E46"/>
    <w:rsid w:val="007065CE"/>
    <w:rsid w:val="00707DB0"/>
    <w:rsid w:val="0079327A"/>
    <w:rsid w:val="007A6F7C"/>
    <w:rsid w:val="007A7E79"/>
    <w:rsid w:val="007E0CA2"/>
    <w:rsid w:val="007E30A7"/>
    <w:rsid w:val="00810E43"/>
    <w:rsid w:val="00822B29"/>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A3898"/>
    <w:rsid w:val="00AE3D6E"/>
    <w:rsid w:val="00AE52E6"/>
    <w:rsid w:val="00AF1802"/>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F29B6"/>
    <w:rsid w:val="00E01F47"/>
    <w:rsid w:val="00E13B61"/>
    <w:rsid w:val="00E355F0"/>
    <w:rsid w:val="00E90A00"/>
    <w:rsid w:val="00ED5BA4"/>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952E7"/>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5999BCB5-9AF2-411B-8F48-85DCF45F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2853</Words>
  <Characters>15693</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113</cp:revision>
  <dcterms:created xsi:type="dcterms:W3CDTF">2020-02-24T07:20:00Z</dcterms:created>
  <dcterms:modified xsi:type="dcterms:W3CDTF">2020-02-28T14:27:00Z</dcterms:modified>
</cp:coreProperties>
</file>