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Travail de Bachelor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Original Journalistic Information Label and Traceability</w:t>
      </w:r>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Nicole Glassey Balet</w:t>
      </w:r>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004AC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4481462" w:history="1">
            <w:r w:rsidR="00004AC3" w:rsidRPr="00290EFA">
              <w:rPr>
                <w:rStyle w:val="Lienhypertexte"/>
                <w:noProof/>
              </w:rPr>
              <w:t>Introduction</w:t>
            </w:r>
            <w:r w:rsidR="00004AC3">
              <w:rPr>
                <w:noProof/>
                <w:webHidden/>
              </w:rPr>
              <w:tab/>
            </w:r>
            <w:r w:rsidR="00004AC3">
              <w:rPr>
                <w:noProof/>
                <w:webHidden/>
              </w:rPr>
              <w:fldChar w:fldCharType="begin"/>
            </w:r>
            <w:r w:rsidR="00004AC3">
              <w:rPr>
                <w:noProof/>
                <w:webHidden/>
              </w:rPr>
              <w:instrText xml:space="preserve"> PAGEREF _Toc34481462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63" w:history="1">
            <w:r w:rsidRPr="00290EFA">
              <w:rPr>
                <w:rStyle w:val="Lienhypertexte"/>
                <w:noProof/>
              </w:rPr>
              <w:t>Contexte</w:t>
            </w:r>
            <w:r>
              <w:rPr>
                <w:noProof/>
                <w:webHidden/>
              </w:rPr>
              <w:tab/>
            </w:r>
            <w:r>
              <w:rPr>
                <w:noProof/>
                <w:webHidden/>
              </w:rPr>
              <w:fldChar w:fldCharType="begin"/>
            </w:r>
            <w:r>
              <w:rPr>
                <w:noProof/>
                <w:webHidden/>
              </w:rPr>
              <w:instrText xml:space="preserve"> PAGEREF _Toc34481463 \h </w:instrText>
            </w:r>
            <w:r>
              <w:rPr>
                <w:noProof/>
                <w:webHidden/>
              </w:rPr>
            </w:r>
            <w:r>
              <w:rPr>
                <w:noProof/>
                <w:webHidden/>
              </w:rPr>
              <w:fldChar w:fldCharType="separate"/>
            </w:r>
            <w:r>
              <w:rPr>
                <w:noProof/>
                <w:webHidden/>
              </w:rPr>
              <w:t>3</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64" w:history="1">
            <w:r w:rsidRPr="00290EFA">
              <w:rPr>
                <w:rStyle w:val="Lienhypertexte"/>
                <w:noProof/>
              </w:rPr>
              <w:t>Problématiques</w:t>
            </w:r>
            <w:r>
              <w:rPr>
                <w:noProof/>
                <w:webHidden/>
              </w:rPr>
              <w:tab/>
            </w:r>
            <w:r>
              <w:rPr>
                <w:noProof/>
                <w:webHidden/>
              </w:rPr>
              <w:fldChar w:fldCharType="begin"/>
            </w:r>
            <w:r>
              <w:rPr>
                <w:noProof/>
                <w:webHidden/>
              </w:rPr>
              <w:instrText xml:space="preserve"> PAGEREF _Toc34481464 \h </w:instrText>
            </w:r>
            <w:r>
              <w:rPr>
                <w:noProof/>
                <w:webHidden/>
              </w:rPr>
            </w:r>
            <w:r>
              <w:rPr>
                <w:noProof/>
                <w:webHidden/>
              </w:rPr>
              <w:fldChar w:fldCharType="separate"/>
            </w:r>
            <w:r>
              <w:rPr>
                <w:noProof/>
                <w:webHidden/>
              </w:rPr>
              <w:t>4</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65" w:history="1">
            <w:r w:rsidRPr="00290EFA">
              <w:rPr>
                <w:rStyle w:val="Lienhypertexte"/>
                <w:noProof/>
              </w:rPr>
              <w:t>Critères d’analyse</w:t>
            </w:r>
            <w:r>
              <w:rPr>
                <w:noProof/>
                <w:webHidden/>
              </w:rPr>
              <w:tab/>
            </w:r>
            <w:r>
              <w:rPr>
                <w:noProof/>
                <w:webHidden/>
              </w:rPr>
              <w:fldChar w:fldCharType="begin"/>
            </w:r>
            <w:r>
              <w:rPr>
                <w:noProof/>
                <w:webHidden/>
              </w:rPr>
              <w:instrText xml:space="preserve"> PAGEREF _Toc34481465 \h </w:instrText>
            </w:r>
            <w:r>
              <w:rPr>
                <w:noProof/>
                <w:webHidden/>
              </w:rPr>
            </w:r>
            <w:r>
              <w:rPr>
                <w:noProof/>
                <w:webHidden/>
              </w:rPr>
              <w:fldChar w:fldCharType="separate"/>
            </w:r>
            <w:r>
              <w:rPr>
                <w:noProof/>
                <w:webHidden/>
              </w:rPr>
              <w:t>4</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66" w:history="1">
            <w:r w:rsidRPr="00290EFA">
              <w:rPr>
                <w:rStyle w:val="Lienhypertexte"/>
                <w:noProof/>
              </w:rPr>
              <w:t>Sécurité</w:t>
            </w:r>
            <w:r>
              <w:rPr>
                <w:noProof/>
                <w:webHidden/>
              </w:rPr>
              <w:tab/>
            </w:r>
            <w:r>
              <w:rPr>
                <w:noProof/>
                <w:webHidden/>
              </w:rPr>
              <w:fldChar w:fldCharType="begin"/>
            </w:r>
            <w:r>
              <w:rPr>
                <w:noProof/>
                <w:webHidden/>
              </w:rPr>
              <w:instrText xml:space="preserve"> PAGEREF _Toc34481466 \h </w:instrText>
            </w:r>
            <w:r>
              <w:rPr>
                <w:noProof/>
                <w:webHidden/>
              </w:rPr>
            </w:r>
            <w:r>
              <w:rPr>
                <w:noProof/>
                <w:webHidden/>
              </w:rPr>
              <w:fldChar w:fldCharType="separate"/>
            </w:r>
            <w:r>
              <w:rPr>
                <w:noProof/>
                <w:webHidden/>
              </w:rPr>
              <w:t>5</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67" w:history="1">
            <w:r w:rsidRPr="00290EFA">
              <w:rPr>
                <w:rStyle w:val="Lienhypertexte"/>
                <w:noProof/>
              </w:rPr>
              <w:t>Base de données</w:t>
            </w:r>
            <w:r>
              <w:rPr>
                <w:noProof/>
                <w:webHidden/>
              </w:rPr>
              <w:tab/>
            </w:r>
            <w:r>
              <w:rPr>
                <w:noProof/>
                <w:webHidden/>
              </w:rPr>
              <w:fldChar w:fldCharType="begin"/>
            </w:r>
            <w:r>
              <w:rPr>
                <w:noProof/>
                <w:webHidden/>
              </w:rPr>
              <w:instrText xml:space="preserve"> PAGEREF _Toc34481467 \h </w:instrText>
            </w:r>
            <w:r>
              <w:rPr>
                <w:noProof/>
                <w:webHidden/>
              </w:rPr>
            </w:r>
            <w:r>
              <w:rPr>
                <w:noProof/>
                <w:webHidden/>
              </w:rPr>
              <w:fldChar w:fldCharType="separate"/>
            </w:r>
            <w:r>
              <w:rPr>
                <w:noProof/>
                <w:webHidden/>
              </w:rPr>
              <w:t>6</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68" w:history="1">
            <w:r w:rsidRPr="00290EFA">
              <w:rPr>
                <w:rStyle w:val="Lienhypertexte"/>
                <w:noProof/>
              </w:rPr>
              <w:t>Interface web</w:t>
            </w:r>
            <w:r>
              <w:rPr>
                <w:noProof/>
                <w:webHidden/>
              </w:rPr>
              <w:tab/>
            </w:r>
            <w:r>
              <w:rPr>
                <w:noProof/>
                <w:webHidden/>
              </w:rPr>
              <w:fldChar w:fldCharType="begin"/>
            </w:r>
            <w:r>
              <w:rPr>
                <w:noProof/>
                <w:webHidden/>
              </w:rPr>
              <w:instrText xml:space="preserve"> PAGEREF _Toc34481468 \h </w:instrText>
            </w:r>
            <w:r>
              <w:rPr>
                <w:noProof/>
                <w:webHidden/>
              </w:rPr>
            </w:r>
            <w:r>
              <w:rPr>
                <w:noProof/>
                <w:webHidden/>
              </w:rPr>
              <w:fldChar w:fldCharType="separate"/>
            </w:r>
            <w:r>
              <w:rPr>
                <w:noProof/>
                <w:webHidden/>
              </w:rPr>
              <w:t>7</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69" w:history="1">
            <w:r w:rsidRPr="00290EFA">
              <w:rPr>
                <w:rStyle w:val="Lienhypertexte"/>
                <w:noProof/>
              </w:rPr>
              <w:t>Travail à effectuer</w:t>
            </w:r>
            <w:r>
              <w:rPr>
                <w:noProof/>
                <w:webHidden/>
              </w:rPr>
              <w:tab/>
            </w:r>
            <w:r>
              <w:rPr>
                <w:noProof/>
                <w:webHidden/>
              </w:rPr>
              <w:fldChar w:fldCharType="begin"/>
            </w:r>
            <w:r>
              <w:rPr>
                <w:noProof/>
                <w:webHidden/>
              </w:rPr>
              <w:instrText xml:space="preserve"> PAGEREF _Toc34481469 \h </w:instrText>
            </w:r>
            <w:r>
              <w:rPr>
                <w:noProof/>
                <w:webHidden/>
              </w:rPr>
            </w:r>
            <w:r>
              <w:rPr>
                <w:noProof/>
                <w:webHidden/>
              </w:rPr>
              <w:fldChar w:fldCharType="separate"/>
            </w:r>
            <w:r>
              <w:rPr>
                <w:noProof/>
                <w:webHidden/>
              </w:rPr>
              <w:t>7</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0" w:history="1">
            <w:r w:rsidRPr="00290EFA">
              <w:rPr>
                <w:rStyle w:val="Lienhypertexte"/>
                <w:noProof/>
              </w:rPr>
              <w:t>Etape 1</w:t>
            </w:r>
            <w:r>
              <w:rPr>
                <w:noProof/>
                <w:webHidden/>
              </w:rPr>
              <w:tab/>
            </w:r>
            <w:r>
              <w:rPr>
                <w:noProof/>
                <w:webHidden/>
              </w:rPr>
              <w:fldChar w:fldCharType="begin"/>
            </w:r>
            <w:r>
              <w:rPr>
                <w:noProof/>
                <w:webHidden/>
              </w:rPr>
              <w:instrText xml:space="preserve"> PAGEREF _Toc34481470 \h </w:instrText>
            </w:r>
            <w:r>
              <w:rPr>
                <w:noProof/>
                <w:webHidden/>
              </w:rPr>
            </w:r>
            <w:r>
              <w:rPr>
                <w:noProof/>
                <w:webHidden/>
              </w:rPr>
              <w:fldChar w:fldCharType="separate"/>
            </w:r>
            <w:r>
              <w:rPr>
                <w:noProof/>
                <w:webHidden/>
              </w:rPr>
              <w:t>7</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1" w:history="1">
            <w:r w:rsidRPr="00290EFA">
              <w:rPr>
                <w:rStyle w:val="Lienhypertexte"/>
                <w:noProof/>
              </w:rPr>
              <w:t>Etape 2</w:t>
            </w:r>
            <w:r>
              <w:rPr>
                <w:noProof/>
                <w:webHidden/>
              </w:rPr>
              <w:tab/>
            </w:r>
            <w:r>
              <w:rPr>
                <w:noProof/>
                <w:webHidden/>
              </w:rPr>
              <w:fldChar w:fldCharType="begin"/>
            </w:r>
            <w:r>
              <w:rPr>
                <w:noProof/>
                <w:webHidden/>
              </w:rPr>
              <w:instrText xml:space="preserve"> PAGEREF _Toc34481471 \h </w:instrText>
            </w:r>
            <w:r>
              <w:rPr>
                <w:noProof/>
                <w:webHidden/>
              </w:rPr>
            </w:r>
            <w:r>
              <w:rPr>
                <w:noProof/>
                <w:webHidden/>
              </w:rPr>
              <w:fldChar w:fldCharType="separate"/>
            </w:r>
            <w:r>
              <w:rPr>
                <w:noProof/>
                <w:webHidden/>
              </w:rPr>
              <w:t>7</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2" w:history="1">
            <w:r w:rsidRPr="00290EFA">
              <w:rPr>
                <w:rStyle w:val="Lienhypertexte"/>
                <w:noProof/>
              </w:rPr>
              <w:t>Etape 3</w:t>
            </w:r>
            <w:r>
              <w:rPr>
                <w:noProof/>
                <w:webHidden/>
              </w:rPr>
              <w:tab/>
            </w:r>
            <w:r>
              <w:rPr>
                <w:noProof/>
                <w:webHidden/>
              </w:rPr>
              <w:fldChar w:fldCharType="begin"/>
            </w:r>
            <w:r>
              <w:rPr>
                <w:noProof/>
                <w:webHidden/>
              </w:rPr>
              <w:instrText xml:space="preserve"> PAGEREF _Toc34481472 \h </w:instrText>
            </w:r>
            <w:r>
              <w:rPr>
                <w:noProof/>
                <w:webHidden/>
              </w:rPr>
            </w:r>
            <w:r>
              <w:rPr>
                <w:noProof/>
                <w:webHidden/>
              </w:rPr>
              <w:fldChar w:fldCharType="separate"/>
            </w:r>
            <w:r>
              <w:rPr>
                <w:noProof/>
                <w:webHidden/>
              </w:rPr>
              <w:t>8</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3" w:history="1">
            <w:r w:rsidRPr="00290EFA">
              <w:rPr>
                <w:rStyle w:val="Lienhypertexte"/>
                <w:noProof/>
              </w:rPr>
              <w:t>Etape 4</w:t>
            </w:r>
            <w:r>
              <w:rPr>
                <w:noProof/>
                <w:webHidden/>
              </w:rPr>
              <w:tab/>
            </w:r>
            <w:r>
              <w:rPr>
                <w:noProof/>
                <w:webHidden/>
              </w:rPr>
              <w:fldChar w:fldCharType="begin"/>
            </w:r>
            <w:r>
              <w:rPr>
                <w:noProof/>
                <w:webHidden/>
              </w:rPr>
              <w:instrText xml:space="preserve"> PAGEREF _Toc34481473 \h </w:instrText>
            </w:r>
            <w:r>
              <w:rPr>
                <w:noProof/>
                <w:webHidden/>
              </w:rPr>
            </w:r>
            <w:r>
              <w:rPr>
                <w:noProof/>
                <w:webHidden/>
              </w:rPr>
              <w:fldChar w:fldCharType="separate"/>
            </w:r>
            <w:r>
              <w:rPr>
                <w:noProof/>
                <w:webHidden/>
              </w:rPr>
              <w:t>8</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74" w:history="1">
            <w:r w:rsidRPr="00290EFA">
              <w:rPr>
                <w:rStyle w:val="Lienhypertexte"/>
                <w:noProof/>
              </w:rPr>
              <w:t>Planification</w:t>
            </w:r>
            <w:r>
              <w:rPr>
                <w:noProof/>
                <w:webHidden/>
              </w:rPr>
              <w:tab/>
            </w:r>
            <w:r>
              <w:rPr>
                <w:noProof/>
                <w:webHidden/>
              </w:rPr>
              <w:fldChar w:fldCharType="begin"/>
            </w:r>
            <w:r>
              <w:rPr>
                <w:noProof/>
                <w:webHidden/>
              </w:rPr>
              <w:instrText xml:space="preserve"> PAGEREF _Toc34481474 \h </w:instrText>
            </w:r>
            <w:r>
              <w:rPr>
                <w:noProof/>
                <w:webHidden/>
              </w:rPr>
            </w:r>
            <w:r>
              <w:rPr>
                <w:noProof/>
                <w:webHidden/>
              </w:rPr>
              <w:fldChar w:fldCharType="separate"/>
            </w:r>
            <w:r>
              <w:rPr>
                <w:noProof/>
                <w:webHidden/>
              </w:rPr>
              <w:t>9</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75" w:history="1">
            <w:r w:rsidRPr="00290EFA">
              <w:rPr>
                <w:rStyle w:val="Lienhypertexte"/>
                <w:noProof/>
              </w:rPr>
              <w:t>Echéancier</w:t>
            </w:r>
            <w:r>
              <w:rPr>
                <w:noProof/>
                <w:webHidden/>
              </w:rPr>
              <w:tab/>
            </w:r>
            <w:r>
              <w:rPr>
                <w:noProof/>
                <w:webHidden/>
              </w:rPr>
              <w:fldChar w:fldCharType="begin"/>
            </w:r>
            <w:r>
              <w:rPr>
                <w:noProof/>
                <w:webHidden/>
              </w:rPr>
              <w:instrText xml:space="preserve"> PAGEREF _Toc34481475 \h </w:instrText>
            </w:r>
            <w:r>
              <w:rPr>
                <w:noProof/>
                <w:webHidden/>
              </w:rPr>
            </w:r>
            <w:r>
              <w:rPr>
                <w:noProof/>
                <w:webHidden/>
              </w:rPr>
              <w:fldChar w:fldCharType="separate"/>
            </w:r>
            <w:r>
              <w:rPr>
                <w:noProof/>
                <w:webHidden/>
              </w:rPr>
              <w:t>9</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76" w:history="1">
            <w:r w:rsidRPr="00290EFA">
              <w:rPr>
                <w:rStyle w:val="Lienhypertexte"/>
                <w:noProof/>
              </w:rPr>
              <w:t>Rendus</w:t>
            </w:r>
            <w:r>
              <w:rPr>
                <w:noProof/>
                <w:webHidden/>
              </w:rPr>
              <w:tab/>
            </w:r>
            <w:r>
              <w:rPr>
                <w:noProof/>
                <w:webHidden/>
              </w:rPr>
              <w:fldChar w:fldCharType="begin"/>
            </w:r>
            <w:r>
              <w:rPr>
                <w:noProof/>
                <w:webHidden/>
              </w:rPr>
              <w:instrText xml:space="preserve"> PAGEREF _Toc34481476 \h </w:instrText>
            </w:r>
            <w:r>
              <w:rPr>
                <w:noProof/>
                <w:webHidden/>
              </w:rPr>
            </w:r>
            <w:r>
              <w:rPr>
                <w:noProof/>
                <w:webHidden/>
              </w:rPr>
              <w:fldChar w:fldCharType="separate"/>
            </w:r>
            <w:r>
              <w:rPr>
                <w:noProof/>
                <w:webHidden/>
              </w:rPr>
              <w:t>10</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7" w:history="1">
            <w:r w:rsidRPr="00290EFA">
              <w:rPr>
                <w:rStyle w:val="Lienhypertexte"/>
                <w:noProof/>
              </w:rPr>
              <w:t>Rapport</w:t>
            </w:r>
            <w:r>
              <w:rPr>
                <w:noProof/>
                <w:webHidden/>
              </w:rPr>
              <w:tab/>
            </w:r>
            <w:r>
              <w:rPr>
                <w:noProof/>
                <w:webHidden/>
              </w:rPr>
              <w:fldChar w:fldCharType="begin"/>
            </w:r>
            <w:r>
              <w:rPr>
                <w:noProof/>
                <w:webHidden/>
              </w:rPr>
              <w:instrText xml:space="preserve"> PAGEREF _Toc34481477 \h </w:instrText>
            </w:r>
            <w:r>
              <w:rPr>
                <w:noProof/>
                <w:webHidden/>
              </w:rPr>
            </w:r>
            <w:r>
              <w:rPr>
                <w:noProof/>
                <w:webHidden/>
              </w:rPr>
              <w:fldChar w:fldCharType="separate"/>
            </w:r>
            <w:r>
              <w:rPr>
                <w:noProof/>
                <w:webHidden/>
              </w:rPr>
              <w:t>10</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8" w:history="1">
            <w:r w:rsidRPr="00290EFA">
              <w:rPr>
                <w:rStyle w:val="Lienhypertexte"/>
                <w:noProof/>
              </w:rPr>
              <w:t>Plateforme web</w:t>
            </w:r>
            <w:r>
              <w:rPr>
                <w:noProof/>
                <w:webHidden/>
              </w:rPr>
              <w:tab/>
            </w:r>
            <w:r>
              <w:rPr>
                <w:noProof/>
                <w:webHidden/>
              </w:rPr>
              <w:fldChar w:fldCharType="begin"/>
            </w:r>
            <w:r>
              <w:rPr>
                <w:noProof/>
                <w:webHidden/>
              </w:rPr>
              <w:instrText xml:space="preserve"> PAGEREF _Toc34481478 \h </w:instrText>
            </w:r>
            <w:r>
              <w:rPr>
                <w:noProof/>
                <w:webHidden/>
              </w:rPr>
            </w:r>
            <w:r>
              <w:rPr>
                <w:noProof/>
                <w:webHidden/>
              </w:rPr>
              <w:fldChar w:fldCharType="separate"/>
            </w:r>
            <w:r>
              <w:rPr>
                <w:noProof/>
                <w:webHidden/>
              </w:rPr>
              <w:t>10</w:t>
            </w:r>
            <w:r>
              <w:rPr>
                <w:noProof/>
                <w:webHidden/>
              </w:rPr>
              <w:fldChar w:fldCharType="end"/>
            </w:r>
          </w:hyperlink>
        </w:p>
        <w:p w:rsidR="00004AC3" w:rsidRDefault="00004AC3">
          <w:pPr>
            <w:pStyle w:val="TM2"/>
            <w:tabs>
              <w:tab w:val="right" w:leader="dot" w:pos="9062"/>
            </w:tabs>
            <w:rPr>
              <w:rFonts w:asciiTheme="minorHAnsi" w:eastAsiaTheme="minorEastAsia" w:hAnsiTheme="minorHAnsi"/>
              <w:noProof/>
              <w:sz w:val="22"/>
              <w:lang w:eastAsia="fr-CH"/>
            </w:rPr>
          </w:pPr>
          <w:hyperlink w:anchor="_Toc34481479" w:history="1">
            <w:r w:rsidRPr="00290EFA">
              <w:rPr>
                <w:rStyle w:val="Lienhypertexte"/>
                <w:noProof/>
              </w:rPr>
              <w:t>Documentation</w:t>
            </w:r>
            <w:r>
              <w:rPr>
                <w:noProof/>
                <w:webHidden/>
              </w:rPr>
              <w:tab/>
            </w:r>
            <w:r>
              <w:rPr>
                <w:noProof/>
                <w:webHidden/>
              </w:rPr>
              <w:fldChar w:fldCharType="begin"/>
            </w:r>
            <w:r>
              <w:rPr>
                <w:noProof/>
                <w:webHidden/>
              </w:rPr>
              <w:instrText xml:space="preserve"> PAGEREF _Toc34481479 \h </w:instrText>
            </w:r>
            <w:r>
              <w:rPr>
                <w:noProof/>
                <w:webHidden/>
              </w:rPr>
            </w:r>
            <w:r>
              <w:rPr>
                <w:noProof/>
                <w:webHidden/>
              </w:rPr>
              <w:fldChar w:fldCharType="separate"/>
            </w:r>
            <w:r>
              <w:rPr>
                <w:noProof/>
                <w:webHidden/>
              </w:rPr>
              <w:t>10</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80" w:history="1">
            <w:r w:rsidRPr="00290EFA">
              <w:rPr>
                <w:rStyle w:val="Lienhypertexte"/>
                <w:noProof/>
              </w:rPr>
              <w:t>Conclusion</w:t>
            </w:r>
            <w:r>
              <w:rPr>
                <w:noProof/>
                <w:webHidden/>
              </w:rPr>
              <w:tab/>
            </w:r>
            <w:r>
              <w:rPr>
                <w:noProof/>
                <w:webHidden/>
              </w:rPr>
              <w:fldChar w:fldCharType="begin"/>
            </w:r>
            <w:r>
              <w:rPr>
                <w:noProof/>
                <w:webHidden/>
              </w:rPr>
              <w:instrText xml:space="preserve"> PAGEREF _Toc34481480 \h </w:instrText>
            </w:r>
            <w:r>
              <w:rPr>
                <w:noProof/>
                <w:webHidden/>
              </w:rPr>
            </w:r>
            <w:r>
              <w:rPr>
                <w:noProof/>
                <w:webHidden/>
              </w:rPr>
              <w:fldChar w:fldCharType="separate"/>
            </w:r>
            <w:r>
              <w:rPr>
                <w:noProof/>
                <w:webHidden/>
              </w:rPr>
              <w:t>10</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81" w:history="1">
            <w:r w:rsidRPr="00290EFA">
              <w:rPr>
                <w:rStyle w:val="Lienhypertexte"/>
                <w:noProof/>
              </w:rPr>
              <w:t>Sources</w:t>
            </w:r>
            <w:r>
              <w:rPr>
                <w:noProof/>
                <w:webHidden/>
              </w:rPr>
              <w:tab/>
            </w:r>
            <w:r>
              <w:rPr>
                <w:noProof/>
                <w:webHidden/>
              </w:rPr>
              <w:fldChar w:fldCharType="begin"/>
            </w:r>
            <w:r>
              <w:rPr>
                <w:noProof/>
                <w:webHidden/>
              </w:rPr>
              <w:instrText xml:space="preserve"> PAGEREF _Toc34481481 \h </w:instrText>
            </w:r>
            <w:r>
              <w:rPr>
                <w:noProof/>
                <w:webHidden/>
              </w:rPr>
            </w:r>
            <w:r>
              <w:rPr>
                <w:noProof/>
                <w:webHidden/>
              </w:rPr>
              <w:fldChar w:fldCharType="separate"/>
            </w:r>
            <w:r>
              <w:rPr>
                <w:noProof/>
                <w:webHidden/>
              </w:rPr>
              <w:t>11</w:t>
            </w:r>
            <w:r>
              <w:rPr>
                <w:noProof/>
                <w:webHidden/>
              </w:rPr>
              <w:fldChar w:fldCharType="end"/>
            </w:r>
          </w:hyperlink>
        </w:p>
        <w:p w:rsidR="00004AC3" w:rsidRDefault="00004AC3">
          <w:pPr>
            <w:pStyle w:val="TM1"/>
            <w:tabs>
              <w:tab w:val="right" w:leader="dot" w:pos="9062"/>
            </w:tabs>
            <w:rPr>
              <w:rFonts w:asciiTheme="minorHAnsi" w:eastAsiaTheme="minorEastAsia" w:hAnsiTheme="minorHAnsi"/>
              <w:noProof/>
              <w:sz w:val="22"/>
              <w:lang w:eastAsia="fr-CH"/>
            </w:rPr>
          </w:pPr>
          <w:hyperlink w:anchor="_Toc34481482" w:history="1">
            <w:r w:rsidRPr="00290EFA">
              <w:rPr>
                <w:rStyle w:val="Lienhypertexte"/>
                <w:rFonts w:cstheme="minorHAnsi"/>
                <w:noProof/>
                <w:lang w:val="fr-FR"/>
              </w:rPr>
              <w:t>Travaux cités</w:t>
            </w:r>
            <w:r>
              <w:rPr>
                <w:noProof/>
                <w:webHidden/>
              </w:rPr>
              <w:tab/>
            </w:r>
            <w:r>
              <w:rPr>
                <w:noProof/>
                <w:webHidden/>
              </w:rPr>
              <w:fldChar w:fldCharType="begin"/>
            </w:r>
            <w:r>
              <w:rPr>
                <w:noProof/>
                <w:webHidden/>
              </w:rPr>
              <w:instrText xml:space="preserve"> PAGEREF _Toc34481482 \h </w:instrText>
            </w:r>
            <w:r>
              <w:rPr>
                <w:noProof/>
                <w:webHidden/>
              </w:rPr>
            </w:r>
            <w:r>
              <w:rPr>
                <w:noProof/>
                <w:webHidden/>
              </w:rPr>
              <w:fldChar w:fldCharType="separate"/>
            </w:r>
            <w:r>
              <w:rPr>
                <w:noProof/>
                <w:webHidden/>
              </w:rPr>
              <w:t>11</w:t>
            </w:r>
            <w:r>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4481462"/>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Bachelor s’effectue en complément du projet de recherche « Original Journalistic Information Label and Traceability » actuellement en étude à l’institut informatique de gestion. Il représente la suite du travail de Bachelor réalisé en 2019 par Nicolas Piguet « Vizualising the spread of Fake News on social media ». </w:t>
      </w:r>
    </w:p>
    <w:p w:rsidR="00D62550" w:rsidRPr="0054624B" w:rsidRDefault="00D62550" w:rsidP="0054624B">
      <w:pPr>
        <w:pStyle w:val="Titre1"/>
      </w:pPr>
      <w:bookmarkStart w:id="1" w:name="_Toc34481463"/>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4481464"/>
      <w:r w:rsidRPr="0054624B">
        <w:t>Problématique</w:t>
      </w:r>
      <w:r w:rsidR="006D0276" w:rsidRPr="0054624B">
        <w:t>s</w:t>
      </w:r>
      <w:bookmarkEnd w:id="2"/>
    </w:p>
    <w:p w:rsidR="00D62550" w:rsidRDefault="00860228" w:rsidP="00860228">
      <w:pPr>
        <w:pStyle w:val="Titre2"/>
      </w:pPr>
      <w:bookmarkStart w:id="3" w:name="_Toc34481465"/>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4481466"/>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bookmarkStart w:id="5" w:name="_Toc34481467"/>
      <w:r>
        <w:t>Base de données</w:t>
      </w:r>
      <w:bookmarkEnd w:id="5"/>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6" w:name="_Toc34481468"/>
      <w:r>
        <w:lastRenderedPageBreak/>
        <w:t>Interface web</w:t>
      </w:r>
      <w:bookmarkEnd w:id="6"/>
    </w:p>
    <w:p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DD60DE" w:rsidRDefault="00D62550" w:rsidP="00DD60DE">
      <w:pPr>
        <w:pStyle w:val="Titre1"/>
        <w:rPr>
          <w:rFonts w:cstheme="minorHAnsi"/>
          <w:szCs w:val="20"/>
        </w:rPr>
      </w:pPr>
      <w:bookmarkStart w:id="7" w:name="_Toc34481469"/>
      <w:r w:rsidRPr="0054624B">
        <w:t>Travail à effectuer</w:t>
      </w:r>
      <w:bookmarkEnd w:id="7"/>
    </w:p>
    <w:p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Bachelor, reçues le 13 février 2020. </w:t>
      </w:r>
    </w:p>
    <w:p w:rsidR="00FA3BA1" w:rsidRDefault="007E0CA2" w:rsidP="007E0CA2">
      <w:pPr>
        <w:pStyle w:val="Titre2"/>
      </w:pPr>
      <w:bookmarkStart w:id="8" w:name="_Toc34481470"/>
      <w:r>
        <w:t>Etape 1</w:t>
      </w:r>
      <w:bookmarkEnd w:id="8"/>
    </w:p>
    <w:p w:rsidR="00620977" w:rsidRDefault="00620977" w:rsidP="00620977">
      <w:pPr>
        <w:jc w:val="center"/>
        <w:rPr>
          <w:i/>
          <w:iCs/>
        </w:rPr>
      </w:pPr>
      <w:r w:rsidRPr="00620977">
        <w:rPr>
          <w:i/>
          <w:iCs/>
        </w:rPr>
        <w:t>« Identifier les facteurs de différenciation entre du contenu original et non-original »</w:t>
      </w:r>
    </w:p>
    <w:p w:rsidR="00ED5BA4" w:rsidRDefault="00ED5BA4" w:rsidP="00620977">
      <w:pPr>
        <w:jc w:val="center"/>
        <w:rPr>
          <w:i/>
          <w:iCs/>
        </w:rPr>
      </w:pPr>
      <w:r>
        <w:rPr>
          <w:i/>
          <w:iCs/>
        </w:rPr>
        <w:t>et</w:t>
      </w:r>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3708FA">
      <w:pPr>
        <w:spacing w:line="360" w:lineRule="auto"/>
        <w:jc w:val="both"/>
      </w:pPr>
      <w:r>
        <w:t xml:space="preserve">La première étape regroupe deux étapes proposées par les données du travail de Bachelor.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9" w:name="_Toc34481471"/>
      <w:r>
        <w:t xml:space="preserve">Etape </w:t>
      </w:r>
      <w:r w:rsidR="0044483A">
        <w:t>2</w:t>
      </w:r>
      <w:bookmarkEnd w:id="9"/>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r>
        <w:rPr>
          <w:i/>
          <w:iCs/>
        </w:rPr>
        <w:t>et</w:t>
      </w:r>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A6F7C" w:rsidRPr="007E0CA2" w:rsidRDefault="00283FF5" w:rsidP="00DD60DE">
      <w:pPr>
        <w:spacing w:line="360" w:lineRule="auto"/>
        <w:jc w:val="both"/>
      </w:pPr>
      <w:r>
        <w:lastRenderedPageBreak/>
        <w:t>Nous allons également préparer des mockups</w:t>
      </w:r>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mockups seront réalisés en partenariat avec des personnes du métier de la presse. </w:t>
      </w:r>
    </w:p>
    <w:p w:rsidR="007E0CA2" w:rsidRDefault="007E0CA2" w:rsidP="007E0CA2">
      <w:pPr>
        <w:pStyle w:val="Titre2"/>
      </w:pPr>
      <w:bookmarkStart w:id="10" w:name="_Toc34481472"/>
      <w:r>
        <w:t xml:space="preserve">Etape </w:t>
      </w:r>
      <w:r w:rsidR="00822B29">
        <w:t>3</w:t>
      </w:r>
      <w:bookmarkEnd w:id="10"/>
    </w:p>
    <w:p w:rsidR="00620977" w:rsidRDefault="00620977" w:rsidP="00620977">
      <w:pPr>
        <w:jc w:val="center"/>
        <w:rPr>
          <w:i/>
          <w:iCs/>
        </w:rPr>
      </w:pPr>
      <w:r w:rsidRPr="00620977">
        <w:rPr>
          <w:i/>
          <w:iCs/>
        </w:rPr>
        <w:t>« Développer la solution dans un démonstrateur Web »</w:t>
      </w:r>
    </w:p>
    <w:p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7E0CA2" w:rsidRPr="007E0CA2" w:rsidRDefault="006B1312" w:rsidP="003708FA">
      <w:pPr>
        <w:spacing w:line="360" w:lineRule="auto"/>
        <w:jc w:val="both"/>
      </w:pPr>
      <w:r>
        <w:t xml:space="preserve">Tout l’environnement de développement sera mis en place afin de permettre à un développeur tier de facilement reprendre le code (UnitTest, commentaires, documentation etc…). </w:t>
      </w:r>
    </w:p>
    <w:p w:rsidR="007E0CA2" w:rsidRDefault="007E0CA2" w:rsidP="007E0CA2">
      <w:pPr>
        <w:pStyle w:val="Titre2"/>
      </w:pPr>
      <w:bookmarkStart w:id="11" w:name="_Toc34481473"/>
      <w:r>
        <w:t xml:space="preserve">Etape </w:t>
      </w:r>
      <w:r w:rsidR="00822B29">
        <w:t>4</w:t>
      </w:r>
      <w:bookmarkEnd w:id="11"/>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E13B61" w:rsidRDefault="00E13B61">
      <w:pPr>
        <w:spacing w:after="160"/>
        <w:ind w:firstLine="0"/>
      </w:pPr>
      <w:r>
        <w:br w:type="page"/>
      </w:r>
    </w:p>
    <w:p w:rsidR="00D62550" w:rsidRPr="0054624B" w:rsidRDefault="00D62550" w:rsidP="0054624B">
      <w:pPr>
        <w:pStyle w:val="Titre1"/>
      </w:pPr>
      <w:bookmarkStart w:id="12" w:name="_Toc34481474"/>
      <w:r w:rsidRPr="0054624B">
        <w:lastRenderedPageBreak/>
        <w:t>Planification</w:t>
      </w:r>
      <w:bookmarkEnd w:id="12"/>
      <w:r w:rsidRPr="0054624B">
        <w:t xml:space="preserve"> </w:t>
      </w:r>
    </w:p>
    <w:p w:rsidR="008F3348" w:rsidRDefault="008F3348" w:rsidP="008F3348">
      <w:pPr>
        <w:spacing w:line="360" w:lineRule="auto"/>
        <w:rPr>
          <w:rFonts w:cstheme="minorHAnsi"/>
          <w:szCs w:val="20"/>
        </w:rPr>
      </w:pPr>
      <w:r>
        <w:rPr>
          <w:rFonts w:cstheme="minorHAnsi"/>
          <w:szCs w:val="20"/>
        </w:rPr>
        <w:t xml:space="preserve">Sur la base des données de travail de Bachelor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Glassey agira en rôle de « Product Owner » et participera chaque 2 semaines à une « Sprint Review » ce qui nous permettra d’évaluer le travail déjà réalisé. Nous n’allons pas immédiatement donner un délivrable puisque, comme indiqué dans le chapitre « Travail à effectuer », les premières étapes du projet ne contiendront aucune ligne de code. </w:t>
      </w:r>
    </w:p>
    <w:p w:rsidR="00D62550" w:rsidRPr="0054624B" w:rsidRDefault="008F3348" w:rsidP="008F3348">
      <w:pPr>
        <w:spacing w:line="360" w:lineRule="auto"/>
        <w:rPr>
          <w:rFonts w:cstheme="minorHAnsi"/>
          <w:szCs w:val="20"/>
        </w:rPr>
      </w:pPr>
      <w:r>
        <w:rPr>
          <w:rFonts w:cstheme="minorHAnsi"/>
          <w:szCs w:val="20"/>
        </w:rPr>
        <w:t xml:space="preserve">La planification de chaque sprint, ainsi que son objectif, se situeront dans un fichier Excel consultable dans le repository « GitLab » du projet.   </w:t>
      </w:r>
    </w:p>
    <w:p w:rsidR="00D62550" w:rsidRPr="0054624B" w:rsidRDefault="00D62550" w:rsidP="0054624B">
      <w:pPr>
        <w:pStyle w:val="Titre1"/>
      </w:pPr>
      <w:bookmarkStart w:id="13" w:name="_Toc34481475"/>
      <w:r w:rsidRPr="0054624B">
        <w:t>Echéancier</w:t>
      </w:r>
      <w:bookmarkEnd w:id="13"/>
    </w:p>
    <w:p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09.03.2020 – 25.03.2020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26.03.2020 – 08.04.2020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09.04.2020 – 22.04.2020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Etape 2</w:t>
      </w:r>
      <w:r w:rsidR="0037498C">
        <w:rPr>
          <w:rFonts w:cstheme="minorHAnsi"/>
          <w:szCs w:val="20"/>
        </w:rPr>
        <w:t xml:space="preserve"> – État de l’art</w:t>
      </w:r>
      <w:r>
        <w:rPr>
          <w:rFonts w:cstheme="minorHAnsi"/>
          <w:szCs w:val="20"/>
        </w:rPr>
        <w:tab/>
        <w:t>23.04.2020 – 06.05.2020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rsidR="00461A73" w:rsidRDefault="00461A73">
      <w:pPr>
        <w:spacing w:after="160"/>
        <w:ind w:firstLine="0"/>
        <w:rPr>
          <w:rFonts w:cstheme="minorHAnsi"/>
          <w:szCs w:val="20"/>
        </w:rPr>
      </w:pPr>
      <w:r>
        <w:rPr>
          <w:rFonts w:cstheme="minorHAnsi"/>
          <w:szCs w:val="20"/>
        </w:rPr>
        <w:br w:type="page"/>
      </w:r>
    </w:p>
    <w:p w:rsidR="00D62550" w:rsidRPr="0054624B" w:rsidRDefault="00D62550" w:rsidP="0054624B">
      <w:pPr>
        <w:pStyle w:val="Titre1"/>
      </w:pPr>
      <w:bookmarkStart w:id="14" w:name="_Toc34481476"/>
      <w:r w:rsidRPr="0054624B">
        <w:lastRenderedPageBreak/>
        <w:t>Rendus</w:t>
      </w:r>
      <w:bookmarkEnd w:id="14"/>
    </w:p>
    <w:p w:rsidR="00D62550" w:rsidRDefault="00C662F5" w:rsidP="00C662F5">
      <w:pPr>
        <w:pStyle w:val="Titre2"/>
      </w:pPr>
      <w:bookmarkStart w:id="15" w:name="_Toc34481477"/>
      <w:r>
        <w:t>Rapport</w:t>
      </w:r>
      <w:bookmarkEnd w:id="15"/>
    </w:p>
    <w:p w:rsidR="005A7E80" w:rsidRDefault="00750F09" w:rsidP="00750F09">
      <w:pPr>
        <w:spacing w:line="360" w:lineRule="auto"/>
      </w:pPr>
      <w:r>
        <w:t xml:space="preserve">Un rapport complet détaillant les phases d’étude et de développement de la plateforme sera livré le 31 juillet 2020 à la professeure Madame Glassey. Ce dernier permettra à un tier de comprendre l’intégralité du projet afin d’assurer la pérennité de celui-ci. </w:t>
      </w:r>
    </w:p>
    <w:p w:rsidR="00750F09" w:rsidRPr="005A7E80" w:rsidRDefault="00750F09" w:rsidP="00750F09">
      <w:pPr>
        <w:spacing w:line="360" w:lineRule="auto"/>
      </w:pPr>
      <w:r>
        <w:t xml:space="preserve">Le contexte, format et contenu de ce rapport répondra aux demandes fixées par la Haute École de Gestion de Sierre. </w:t>
      </w:r>
    </w:p>
    <w:p w:rsidR="00C662F5" w:rsidRDefault="00C662F5" w:rsidP="00C662F5">
      <w:pPr>
        <w:pStyle w:val="Titre2"/>
      </w:pPr>
      <w:bookmarkStart w:id="16" w:name="_Toc34481478"/>
      <w:r>
        <w:t>Plateforme web</w:t>
      </w:r>
      <w:bookmarkEnd w:id="16"/>
    </w:p>
    <w:p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rsidR="00A70C85" w:rsidRPr="00A70C85" w:rsidRDefault="00A70C85" w:rsidP="00A70C85">
      <w:pPr>
        <w:spacing w:line="360" w:lineRule="auto"/>
      </w:pPr>
      <w:r>
        <w:t xml:space="preserve">Avant de déployer la plateforme à d’autres utilisateurs, nous allons la mettre à disposition à 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rsidR="005A7E80" w:rsidRDefault="005A7E80" w:rsidP="005A7E80">
      <w:pPr>
        <w:pStyle w:val="Titre2"/>
      </w:pPr>
      <w:bookmarkStart w:id="17" w:name="_Toc34481479"/>
      <w:r>
        <w:t>Documentation</w:t>
      </w:r>
      <w:bookmarkEnd w:id="17"/>
    </w:p>
    <w:p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rsidR="00750F09" w:rsidRPr="00F26C05" w:rsidRDefault="00750F09" w:rsidP="00A70C85">
      <w:pPr>
        <w:spacing w:line="360" w:lineRule="auto"/>
      </w:pPr>
    </w:p>
    <w:p w:rsidR="00D62550" w:rsidRPr="0054624B" w:rsidRDefault="00D62550" w:rsidP="0054624B">
      <w:pPr>
        <w:pStyle w:val="Titre1"/>
      </w:pPr>
      <w:bookmarkStart w:id="18" w:name="_Toc34481480"/>
      <w:r w:rsidRPr="0054624B">
        <w:t>Conclusion</w:t>
      </w:r>
      <w:bookmarkEnd w:id="18"/>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Bachelor.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54624B">
      <w:pPr>
        <w:pStyle w:val="Titre1"/>
      </w:pPr>
      <w:bookmarkStart w:id="19" w:name="_Toc34481481"/>
      <w:bookmarkStart w:id="20" w:name="_GoBack"/>
      <w:bookmarkEnd w:id="20"/>
      <w:r w:rsidRPr="0054624B">
        <w:lastRenderedPageBreak/>
        <w:t>Sources</w:t>
      </w:r>
      <w:bookmarkEnd w:id="19"/>
    </w:p>
    <w:bookmarkStart w:id="21" w:name="_Toc34481482"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21"/>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DD60DE">
      <w:headerReference w:type="default" r:id="rId9"/>
      <w:footerReference w:type="default" r:id="rId10"/>
      <w:headerReference w:type="first" r:id="rId11"/>
      <w:footerReference w:type="first" r:id="rId12"/>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73" w:rsidRDefault="002E2473" w:rsidP="001A21A8">
      <w:pPr>
        <w:spacing w:after="0" w:line="240" w:lineRule="auto"/>
      </w:pPr>
      <w:r>
        <w:separator/>
      </w:r>
    </w:p>
  </w:endnote>
  <w:endnote w:type="continuationSeparator" w:id="0">
    <w:p w:rsidR="002E2473" w:rsidRDefault="002E2473"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73" w:rsidRDefault="002E2473" w:rsidP="001A21A8">
      <w:pPr>
        <w:spacing w:after="0" w:line="240" w:lineRule="auto"/>
      </w:pPr>
      <w:r>
        <w:separator/>
      </w:r>
    </w:p>
  </w:footnote>
  <w:footnote w:type="continuationSeparator" w:id="0">
    <w:p w:rsidR="002E2473" w:rsidRDefault="002E2473"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04AC3"/>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B479A"/>
    <w:rsid w:val="001B5ED2"/>
    <w:rsid w:val="001C0A22"/>
    <w:rsid w:val="00234C9F"/>
    <w:rsid w:val="0025743E"/>
    <w:rsid w:val="0026321A"/>
    <w:rsid w:val="00273FFD"/>
    <w:rsid w:val="00283FF5"/>
    <w:rsid w:val="002919D4"/>
    <w:rsid w:val="00295CE8"/>
    <w:rsid w:val="002A4510"/>
    <w:rsid w:val="002A466B"/>
    <w:rsid w:val="002E2473"/>
    <w:rsid w:val="002E7524"/>
    <w:rsid w:val="003445CF"/>
    <w:rsid w:val="003708FA"/>
    <w:rsid w:val="0037498C"/>
    <w:rsid w:val="0044483A"/>
    <w:rsid w:val="00452FD7"/>
    <w:rsid w:val="00461A73"/>
    <w:rsid w:val="00481835"/>
    <w:rsid w:val="00484A1F"/>
    <w:rsid w:val="004C24BF"/>
    <w:rsid w:val="004E464F"/>
    <w:rsid w:val="004E54D9"/>
    <w:rsid w:val="0054624B"/>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F29B6"/>
    <w:rsid w:val="00E01F47"/>
    <w:rsid w:val="00E13B61"/>
    <w:rsid w:val="00E355F0"/>
    <w:rsid w:val="00E90A00"/>
    <w:rsid w:val="00ED5BA4"/>
    <w:rsid w:val="00F26C05"/>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FF6F7"/>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2BB4F78B-01BF-423B-BE34-6034C09A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3106</Words>
  <Characters>17089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119</cp:revision>
  <dcterms:created xsi:type="dcterms:W3CDTF">2020-02-24T07:20:00Z</dcterms:created>
  <dcterms:modified xsi:type="dcterms:W3CDTF">2020-03-07T12:52:00Z</dcterms:modified>
</cp:coreProperties>
</file>