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F9A2" w14:textId="77777777" w:rsidR="00CC35C8" w:rsidRDefault="00000000">
      <w:pPr>
        <w:spacing w:before="320" w:after="40"/>
        <w:jc w:val="center"/>
      </w:pPr>
      <w:r>
        <w:rPr>
          <w:b/>
          <w:color w:val="003366"/>
          <w:sz w:val="34"/>
        </w:rPr>
        <w:t>Optimal EV Charging Network for Spain's Interurban Roads</w:t>
      </w:r>
    </w:p>
    <w:p w14:paraId="0EC69C5D" w14:textId="77777777" w:rsidR="00CC35C8" w:rsidRDefault="00000000">
      <w:pPr>
        <w:spacing w:after="40"/>
        <w:jc w:val="center"/>
      </w:pPr>
      <w:r>
        <w:rPr>
          <w:color w:val="505050"/>
          <w:sz w:val="19"/>
        </w:rPr>
        <w:t>Analytical Report  -  IE Sustainability Datathon, March 2026  -  Iberdrola Challenge</w:t>
      </w:r>
    </w:p>
    <w:p w14:paraId="74696476" w14:textId="77777777" w:rsidR="00CC35C8" w:rsidRDefault="00000000">
      <w:pPr>
        <w:spacing w:after="200"/>
        <w:jc w:val="center"/>
      </w:pPr>
      <w:r>
        <w:rPr>
          <w:b/>
          <w:sz w:val="20"/>
        </w:rPr>
        <w:t>Team Greenlabs  |  April 2026</w:t>
      </w:r>
    </w:p>
    <w:p w14:paraId="0A400A6B" w14:textId="77777777" w:rsidR="00CC35C8" w:rsidRDefault="00CC35C8">
      <w:pPr>
        <w:pBdr>
          <w:bottom w:val="single" w:sz="4" w:space="1" w:color="003366"/>
        </w:pBdr>
      </w:pPr>
    </w:p>
    <w:p w14:paraId="55DC4E9C" w14:textId="77777777" w:rsidR="00CC35C8" w:rsidRDefault="00000000">
      <w:pPr>
        <w:pStyle w:val="Heading1"/>
      </w:pPr>
      <w:r>
        <w:t>1. Introduction</w:t>
      </w:r>
    </w:p>
    <w:p w14:paraId="7FC0A929" w14:textId="77777777" w:rsidR="00CC35C8" w:rsidRDefault="00000000">
      <w:r>
        <w:t>With approximately 2.5 million electric vehicles projected on Spain's roads by late 2027, expanding interurban fast-charging infrastructure is an immediate priority. The EU's Alternative Fuels Infrastructure Regulation (AFIR) mandates maximum charger spacing of 60 km on TEN-T Core corridors and 100 km on TEN-T Comprehensive corridors, with binding compliance deadlines in 2027.</w:t>
      </w:r>
    </w:p>
    <w:p w14:paraId="1D2678B7" w14:textId="77777777" w:rsidR="00CC35C8" w:rsidRDefault="00000000">
      <w:r>
        <w:t>This report presents our proposed charging network for Spain's autopistas, autovias, and carreteras nacionales. We combine road traffic data, the mandatory datos.gob.es EV fleet projection (forked as required by the datathon brief), and grid capacity publications from three distribution system operators (i-DE, Endesa, Viesgo) to produce a solution that is AFIR-compliant and grounded in real infrastructure constraints. Our central finding is that while only 8 new stations are needed to close all coverage gaps, every proposed location sits in a grid-congested zone, making electrical grid reinforcement the true barrier to deployment.</w:t>
      </w:r>
    </w:p>
    <w:p w14:paraId="67F1D0D5" w14:textId="77777777" w:rsidR="00CC35C8" w:rsidRDefault="00000000">
      <w:pPr>
        <w:pStyle w:val="Heading1"/>
      </w:pPr>
      <w:r>
        <w:t>2. Data and Methodology</w:t>
      </w:r>
    </w:p>
    <w:p w14:paraId="42E558BD" w14:textId="537DDF51" w:rsidR="00CC35C8" w:rsidRDefault="00000000">
      <w:r>
        <w:t>The analysis integrates 14 public datasets: the Ministry of Transport road network (Hermes), DGT traffic intensity counts (IMD), the National Access Point charger registry, substation-level grid capacity from i-DE, Endesa, and Viesgo, DGT vehicle registrations, the mandatory datos.gob.es EV forecast repository, INE provincial tourism and population data, REE electricity demand profiles and generation capacity, TEN-T corridor geometries, MITECO gas station locations, and official motorway service area locations from the Ministry of Transport.</w:t>
      </w:r>
    </w:p>
    <w:p w14:paraId="738A30EF" w14:textId="77777777" w:rsidR="00CC35C8" w:rsidRDefault="00000000">
      <w:r>
        <w:t>Where public data had gaps, we bridged them with documented proxies. IMD traffic values were unavailable for 343 of 1,295 segments; we imputed these using the median IMD of the same road type. DSO grid files used Spanish locale encoding (semicolon delimiters, comma decimals) and UTM coordinates, requiring custom parsing and reprojection to WGS84. The three DSO datasets reported capacity per voltage level, yielding 4,990 raw records that we deduplicated into 2,147 physical substations using distributor, name, and coordinates as a composite key.</w:t>
      </w:r>
    </w:p>
    <w:p w14:paraId="17843EB5" w14:textId="77777777" w:rsidR="00CC35C8" w:rsidRDefault="00000000">
      <w:pPr>
        <w:pStyle w:val="Heading2"/>
      </w:pPr>
      <w:r>
        <w:t>2.1 Pipeline and Demand Model</w:t>
      </w:r>
    </w:p>
    <w:p w14:paraId="47665F39" w14:textId="77777777" w:rsidR="00CC35C8" w:rsidRDefault="00000000">
      <w:r>
        <w:t>The pipeline proceeds in eight stages: (1) data ingestion and coordinate standardization; (2) SARIMA(0,1,2)(1,0,1)[12] fleet projection on log-transformed monthly BEV/PHEV registrations, yielding 2,498,159 cumulative EVs by December 2027; (3) road filtering to 1,295 interurban segments (27,000 km); (4) existing charger mapping and AFIR gap detection via per-route linear referencing; (5) grid capacity consolidation; (6) demand modeling; (7) greedy station placement; and (8) grid viability classification.</w:t>
      </w:r>
    </w:p>
    <w:p w14:paraId="3D5FF3C3" w14:textId="77777777" w:rsidR="00CC35C8" w:rsidRDefault="00000000">
      <w:r>
        <w:t xml:space="preserve">The demand model estimates daily BEV flow per segment as IMD x 5.7% (EV penetration) x 60% (BEV fraction; PHEVs rely on combustion for highway trips and do not require DC fast charging). An en-route charging probability of 12% then determines sessions per day, derived from Norwegian NPRA highway data and IONITY utilization reports, weighted by Spain's trip-length distribution. Seasonal multipliers of 2.5x (Mediterranean summer peak) and 1.5x (Atlantic) ensure stations are sized for worst-case demand, based on INE provincial </w:t>
      </w:r>
      <w:r>
        <w:lastRenderedPageBreak/>
        <w:t>tourism data. The 12% probability was validated through a deterministic baseline, a 2,000-agent Monte Carlo simulation (converging to 12.6%), and a three-way reconciliation confirming robustness.</w:t>
      </w:r>
    </w:p>
    <w:p w14:paraId="25174274" w14:textId="77777777" w:rsidR="00CC35C8" w:rsidRDefault="00000000">
      <w:r>
        <w:t>Each proposed station is spatially matched to the nearest electrical substation using a BallTree nearest-neighbor search with haversine distance (25 km search radius). The matched substation's available capacity determines grid status, and its DSO attribution determines the distributor field in output File 3. Stations beyond 25 km from any substation default to Congested, as grid connection costs at that distance are prohibitive under CNMC benchmarks.</w:t>
      </w:r>
    </w:p>
    <w:p w14:paraId="085D21FA" w14:textId="77777777" w:rsidR="00CC35C8" w:rsidRDefault="00000000">
      <w:pPr>
        <w:pStyle w:val="Heading1"/>
      </w:pPr>
      <w:r>
        <w:t>3. Assumptions and Grid Thresholds</w:t>
      </w:r>
    </w:p>
    <w:p w14:paraId="77ED3262" w14:textId="77777777" w:rsidR="00CC35C8" w:rsidRDefault="00000000">
      <w:r>
        <w:t>All assumptions are documented with research citations in a dedicated register (references/assumptions.md). The table below summarizes the parameters with the greatest influence on results. Each assumption connects directly to the outputs: the 12% charging probability drives station sizing in output File 2; the 60/100/120 km spacing tiers determine where gaps exist; and the grid thresholds classify every proposed station as Sufficient, Moderate, or Congested in output Files 2 and 3.</w:t>
      </w:r>
    </w:p>
    <w:p w14:paraId="63CF7D77" w14:textId="77777777" w:rsidR="00E261B4" w:rsidRDefault="00E261B4"/>
    <w:p w14:paraId="61B2CD24" w14:textId="77777777" w:rsidR="00CC35C8" w:rsidRDefault="00000000">
      <w:pPr>
        <w:spacing w:before="60" w:after="30"/>
      </w:pPr>
      <w:r>
        <w:rPr>
          <w:b/>
          <w:color w:val="2C3E50"/>
          <w:sz w:val="18"/>
        </w:rPr>
        <w:t>Model Parameters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211"/>
        <w:gridCol w:w="3211"/>
        <w:gridCol w:w="3211"/>
      </w:tblGrid>
      <w:tr w:rsidR="00CC35C8" w14:paraId="698BD484" w14:textId="77777777">
        <w:trPr>
          <w:jc w:val="center"/>
        </w:trPr>
        <w:tc>
          <w:tcPr>
            <w:tcW w:w="3211" w:type="dxa"/>
            <w:shd w:val="clear" w:color="auto" w:fill="003366"/>
            <w:tcMar>
              <w:top w:w="40" w:type="dxa"/>
              <w:left w:w="80" w:type="dxa"/>
              <w:bottom w:w="40" w:type="dxa"/>
              <w:right w:w="80" w:type="dxa"/>
            </w:tcMar>
          </w:tcPr>
          <w:p w14:paraId="2374BB5E" w14:textId="77777777" w:rsidR="00CC35C8" w:rsidRDefault="00000000">
            <w:r>
              <w:rPr>
                <w:b/>
                <w:color w:val="FFFFFF"/>
                <w:sz w:val="18"/>
              </w:rPr>
              <w:t>Parameter</w:t>
            </w:r>
          </w:p>
        </w:tc>
        <w:tc>
          <w:tcPr>
            <w:tcW w:w="3211" w:type="dxa"/>
            <w:shd w:val="clear" w:color="auto" w:fill="003366"/>
            <w:tcMar>
              <w:top w:w="40" w:type="dxa"/>
              <w:left w:w="80" w:type="dxa"/>
              <w:bottom w:w="40" w:type="dxa"/>
              <w:right w:w="80" w:type="dxa"/>
            </w:tcMar>
          </w:tcPr>
          <w:p w14:paraId="5044BE18" w14:textId="77777777" w:rsidR="00CC35C8" w:rsidRDefault="00000000">
            <w:r>
              <w:rPr>
                <w:b/>
                <w:color w:val="FFFFFF"/>
                <w:sz w:val="18"/>
              </w:rPr>
              <w:t>Value</w:t>
            </w:r>
          </w:p>
        </w:tc>
        <w:tc>
          <w:tcPr>
            <w:tcW w:w="3211" w:type="dxa"/>
            <w:shd w:val="clear" w:color="auto" w:fill="003366"/>
            <w:tcMar>
              <w:top w:w="40" w:type="dxa"/>
              <w:left w:w="80" w:type="dxa"/>
              <w:bottom w:w="40" w:type="dxa"/>
              <w:right w:w="80" w:type="dxa"/>
            </w:tcMar>
          </w:tcPr>
          <w:p w14:paraId="783D7A5A" w14:textId="77777777" w:rsidR="00CC35C8" w:rsidRDefault="00000000">
            <w:r>
              <w:rPr>
                <w:b/>
                <w:color w:val="FFFFFF"/>
                <w:sz w:val="18"/>
              </w:rPr>
              <w:t>Source</w:t>
            </w:r>
          </w:p>
        </w:tc>
      </w:tr>
      <w:tr w:rsidR="00CC35C8" w14:paraId="5C95DB25" w14:textId="77777777">
        <w:trPr>
          <w:jc w:val="center"/>
        </w:trPr>
        <w:tc>
          <w:tcPr>
            <w:tcW w:w="3211" w:type="dxa"/>
            <w:shd w:val="clear" w:color="auto" w:fill="FFFFFF"/>
            <w:tcMar>
              <w:top w:w="40" w:type="dxa"/>
              <w:left w:w="80" w:type="dxa"/>
              <w:bottom w:w="40" w:type="dxa"/>
              <w:right w:w="80" w:type="dxa"/>
            </w:tcMar>
          </w:tcPr>
          <w:p w14:paraId="3464B587" w14:textId="77777777" w:rsidR="00CC35C8" w:rsidRDefault="00000000">
            <w:r>
              <w:rPr>
                <w:b/>
                <w:color w:val="2C3E50"/>
                <w:sz w:val="17"/>
              </w:rPr>
              <w:t>Avg. EV range (WLTP)</w:t>
            </w:r>
          </w:p>
        </w:tc>
        <w:tc>
          <w:tcPr>
            <w:tcW w:w="3211" w:type="dxa"/>
            <w:shd w:val="clear" w:color="auto" w:fill="FFFFFF"/>
            <w:tcMar>
              <w:top w:w="40" w:type="dxa"/>
              <w:left w:w="80" w:type="dxa"/>
              <w:bottom w:w="40" w:type="dxa"/>
              <w:right w:w="80" w:type="dxa"/>
            </w:tcMar>
          </w:tcPr>
          <w:p w14:paraId="1694D343" w14:textId="77777777" w:rsidR="00CC35C8" w:rsidRDefault="00000000">
            <w:r>
              <w:rPr>
                <w:color w:val="2C3E50"/>
                <w:sz w:val="17"/>
              </w:rPr>
              <w:t>340 km</w:t>
            </w:r>
          </w:p>
        </w:tc>
        <w:tc>
          <w:tcPr>
            <w:tcW w:w="3211" w:type="dxa"/>
            <w:shd w:val="clear" w:color="auto" w:fill="FFFFFF"/>
            <w:tcMar>
              <w:top w:w="40" w:type="dxa"/>
              <w:left w:w="80" w:type="dxa"/>
              <w:bottom w:w="40" w:type="dxa"/>
              <w:right w:w="80" w:type="dxa"/>
            </w:tcMar>
          </w:tcPr>
          <w:p w14:paraId="6679754C" w14:textId="77777777" w:rsidR="00CC35C8" w:rsidRDefault="00000000">
            <w:r>
              <w:rPr>
                <w:color w:val="2C3E50"/>
                <w:sz w:val="17"/>
              </w:rPr>
              <w:t>IEA Global EV Outlook 2025</w:t>
            </w:r>
          </w:p>
        </w:tc>
      </w:tr>
      <w:tr w:rsidR="00CC35C8" w14:paraId="30B745E9" w14:textId="77777777">
        <w:trPr>
          <w:jc w:val="center"/>
        </w:trPr>
        <w:tc>
          <w:tcPr>
            <w:tcW w:w="3211" w:type="dxa"/>
            <w:shd w:val="clear" w:color="auto" w:fill="EBF1F8"/>
            <w:tcMar>
              <w:top w:w="40" w:type="dxa"/>
              <w:left w:w="80" w:type="dxa"/>
              <w:bottom w:w="40" w:type="dxa"/>
              <w:right w:w="80" w:type="dxa"/>
            </w:tcMar>
          </w:tcPr>
          <w:p w14:paraId="7C0501EA" w14:textId="77777777" w:rsidR="00CC35C8" w:rsidRDefault="00000000">
            <w:r>
              <w:rPr>
                <w:b/>
                <w:color w:val="2C3E50"/>
                <w:sz w:val="17"/>
              </w:rPr>
              <w:t>Effective highway range</w:t>
            </w:r>
          </w:p>
        </w:tc>
        <w:tc>
          <w:tcPr>
            <w:tcW w:w="3211" w:type="dxa"/>
            <w:shd w:val="clear" w:color="auto" w:fill="EBF1F8"/>
            <w:tcMar>
              <w:top w:w="40" w:type="dxa"/>
              <w:left w:w="80" w:type="dxa"/>
              <w:bottom w:w="40" w:type="dxa"/>
              <w:right w:w="80" w:type="dxa"/>
            </w:tcMar>
          </w:tcPr>
          <w:p w14:paraId="6727684A" w14:textId="77777777" w:rsidR="00CC35C8" w:rsidRDefault="00000000">
            <w:r>
              <w:rPr>
                <w:color w:val="2C3E50"/>
                <w:sz w:val="17"/>
              </w:rPr>
              <w:t>255 km (75% WLTP)</w:t>
            </w:r>
          </w:p>
        </w:tc>
        <w:tc>
          <w:tcPr>
            <w:tcW w:w="3211" w:type="dxa"/>
            <w:shd w:val="clear" w:color="auto" w:fill="EBF1F8"/>
            <w:tcMar>
              <w:top w:w="40" w:type="dxa"/>
              <w:left w:w="80" w:type="dxa"/>
              <w:bottom w:w="40" w:type="dxa"/>
              <w:right w:w="80" w:type="dxa"/>
            </w:tcMar>
          </w:tcPr>
          <w:p w14:paraId="6DD8C981" w14:textId="77777777" w:rsidR="00CC35C8" w:rsidRDefault="00000000">
            <w:r>
              <w:rPr>
                <w:color w:val="2C3E50"/>
                <w:sz w:val="17"/>
              </w:rPr>
              <w:t>ICCT real-world range; highway consumption</w:t>
            </w:r>
          </w:p>
        </w:tc>
      </w:tr>
      <w:tr w:rsidR="00CC35C8" w14:paraId="16DF7653" w14:textId="77777777">
        <w:trPr>
          <w:jc w:val="center"/>
        </w:trPr>
        <w:tc>
          <w:tcPr>
            <w:tcW w:w="3211" w:type="dxa"/>
            <w:shd w:val="clear" w:color="auto" w:fill="FFFFFF"/>
            <w:tcMar>
              <w:top w:w="40" w:type="dxa"/>
              <w:left w:w="80" w:type="dxa"/>
              <w:bottom w:w="40" w:type="dxa"/>
              <w:right w:w="80" w:type="dxa"/>
            </w:tcMar>
          </w:tcPr>
          <w:p w14:paraId="0201D2A4" w14:textId="77777777" w:rsidR="00CC35C8" w:rsidRDefault="00000000">
            <w:r>
              <w:rPr>
                <w:b/>
                <w:color w:val="2C3E50"/>
                <w:sz w:val="17"/>
              </w:rPr>
              <w:t>Charging probability</w:t>
            </w:r>
          </w:p>
        </w:tc>
        <w:tc>
          <w:tcPr>
            <w:tcW w:w="3211" w:type="dxa"/>
            <w:shd w:val="clear" w:color="auto" w:fill="FFFFFF"/>
            <w:tcMar>
              <w:top w:w="40" w:type="dxa"/>
              <w:left w:w="80" w:type="dxa"/>
              <w:bottom w:w="40" w:type="dxa"/>
              <w:right w:w="80" w:type="dxa"/>
            </w:tcMar>
          </w:tcPr>
          <w:p w14:paraId="1AFA8CA3" w14:textId="77777777" w:rsidR="00CC35C8" w:rsidRDefault="00000000">
            <w:r>
              <w:rPr>
                <w:color w:val="2C3E50"/>
                <w:sz w:val="17"/>
              </w:rPr>
              <w:t>12% of passing BEVs</w:t>
            </w:r>
          </w:p>
        </w:tc>
        <w:tc>
          <w:tcPr>
            <w:tcW w:w="3211" w:type="dxa"/>
            <w:shd w:val="clear" w:color="auto" w:fill="FFFFFF"/>
            <w:tcMar>
              <w:top w:w="40" w:type="dxa"/>
              <w:left w:w="80" w:type="dxa"/>
              <w:bottom w:w="40" w:type="dxa"/>
              <w:right w:w="80" w:type="dxa"/>
            </w:tcMar>
          </w:tcPr>
          <w:p w14:paraId="18F1FF65" w14:textId="77777777" w:rsidR="00CC35C8" w:rsidRDefault="00000000">
            <w:r>
              <w:rPr>
                <w:color w:val="2C3E50"/>
                <w:sz w:val="17"/>
              </w:rPr>
              <w:t>NPRA Norway; IONITY; Wu et al. (2024)</w:t>
            </w:r>
          </w:p>
        </w:tc>
      </w:tr>
      <w:tr w:rsidR="00CC35C8" w14:paraId="7D868FC7" w14:textId="77777777">
        <w:trPr>
          <w:jc w:val="center"/>
        </w:trPr>
        <w:tc>
          <w:tcPr>
            <w:tcW w:w="3211" w:type="dxa"/>
            <w:shd w:val="clear" w:color="auto" w:fill="EBF1F8"/>
            <w:tcMar>
              <w:top w:w="40" w:type="dxa"/>
              <w:left w:w="80" w:type="dxa"/>
              <w:bottom w:w="40" w:type="dxa"/>
              <w:right w:w="80" w:type="dxa"/>
            </w:tcMar>
          </w:tcPr>
          <w:p w14:paraId="15CAFD36" w14:textId="77777777" w:rsidR="00CC35C8" w:rsidRDefault="00000000">
            <w:r>
              <w:rPr>
                <w:b/>
                <w:color w:val="2C3E50"/>
                <w:sz w:val="17"/>
              </w:rPr>
              <w:t>Session duration</w:t>
            </w:r>
          </w:p>
        </w:tc>
        <w:tc>
          <w:tcPr>
            <w:tcW w:w="3211" w:type="dxa"/>
            <w:shd w:val="clear" w:color="auto" w:fill="EBF1F8"/>
            <w:tcMar>
              <w:top w:w="40" w:type="dxa"/>
              <w:left w:w="80" w:type="dxa"/>
              <w:bottom w:w="40" w:type="dxa"/>
              <w:right w:w="80" w:type="dxa"/>
            </w:tcMar>
          </w:tcPr>
          <w:p w14:paraId="2760B6CB" w14:textId="77777777" w:rsidR="00CC35C8" w:rsidRDefault="00000000">
            <w:r>
              <w:rPr>
                <w:color w:val="2C3E50"/>
                <w:sz w:val="17"/>
              </w:rPr>
              <w:t>22 min (0.37 h)</w:t>
            </w:r>
          </w:p>
        </w:tc>
        <w:tc>
          <w:tcPr>
            <w:tcW w:w="3211" w:type="dxa"/>
            <w:shd w:val="clear" w:color="auto" w:fill="EBF1F8"/>
            <w:tcMar>
              <w:top w:w="40" w:type="dxa"/>
              <w:left w:w="80" w:type="dxa"/>
              <w:bottom w:w="40" w:type="dxa"/>
              <w:right w:w="80" w:type="dxa"/>
            </w:tcMar>
          </w:tcPr>
          <w:p w14:paraId="445149BC" w14:textId="77777777" w:rsidR="00CC35C8" w:rsidRDefault="00000000">
            <w:r>
              <w:rPr>
                <w:color w:val="2C3E50"/>
                <w:sz w:val="17"/>
              </w:rPr>
              <w:t>30 kWh top-up at 150 kW + plug time</w:t>
            </w:r>
          </w:p>
        </w:tc>
      </w:tr>
      <w:tr w:rsidR="00CC35C8" w14:paraId="15FB2427" w14:textId="77777777">
        <w:trPr>
          <w:jc w:val="center"/>
        </w:trPr>
        <w:tc>
          <w:tcPr>
            <w:tcW w:w="3211" w:type="dxa"/>
            <w:shd w:val="clear" w:color="auto" w:fill="FFFFFF"/>
            <w:tcMar>
              <w:top w:w="40" w:type="dxa"/>
              <w:left w:w="80" w:type="dxa"/>
              <w:bottom w:w="40" w:type="dxa"/>
              <w:right w:w="80" w:type="dxa"/>
            </w:tcMar>
          </w:tcPr>
          <w:p w14:paraId="2E46C75F" w14:textId="77777777" w:rsidR="00CC35C8" w:rsidRDefault="00000000">
            <w:r>
              <w:rPr>
                <w:b/>
                <w:color w:val="2C3E50"/>
                <w:sz w:val="17"/>
              </w:rPr>
              <w:t>Power per charger</w:t>
            </w:r>
          </w:p>
        </w:tc>
        <w:tc>
          <w:tcPr>
            <w:tcW w:w="3211" w:type="dxa"/>
            <w:shd w:val="clear" w:color="auto" w:fill="FFFFFF"/>
            <w:tcMar>
              <w:top w:w="40" w:type="dxa"/>
              <w:left w:w="80" w:type="dxa"/>
              <w:bottom w:w="40" w:type="dxa"/>
              <w:right w:w="80" w:type="dxa"/>
            </w:tcMar>
          </w:tcPr>
          <w:p w14:paraId="6C5B4793" w14:textId="77777777" w:rsidR="00CC35C8" w:rsidRDefault="00000000">
            <w:r>
              <w:rPr>
                <w:color w:val="2C3E50"/>
                <w:sz w:val="17"/>
              </w:rPr>
              <w:t>150 kW (fixed)</w:t>
            </w:r>
          </w:p>
        </w:tc>
        <w:tc>
          <w:tcPr>
            <w:tcW w:w="3211" w:type="dxa"/>
            <w:shd w:val="clear" w:color="auto" w:fill="FFFFFF"/>
            <w:tcMar>
              <w:top w:w="40" w:type="dxa"/>
              <w:left w:w="80" w:type="dxa"/>
              <w:bottom w:w="40" w:type="dxa"/>
              <w:right w:w="80" w:type="dxa"/>
            </w:tcMar>
          </w:tcPr>
          <w:p w14:paraId="04D5B7DC" w14:textId="77777777" w:rsidR="00CC35C8" w:rsidRDefault="00000000">
            <w:r>
              <w:rPr>
                <w:color w:val="2C3E50"/>
                <w:sz w:val="17"/>
              </w:rPr>
              <w:t>Datathon rules; AFIR standard</w:t>
            </w:r>
          </w:p>
        </w:tc>
      </w:tr>
      <w:tr w:rsidR="00CC35C8" w14:paraId="67B874E6" w14:textId="77777777">
        <w:trPr>
          <w:jc w:val="center"/>
        </w:trPr>
        <w:tc>
          <w:tcPr>
            <w:tcW w:w="3211" w:type="dxa"/>
            <w:shd w:val="clear" w:color="auto" w:fill="EBF1F8"/>
            <w:tcMar>
              <w:top w:w="40" w:type="dxa"/>
              <w:left w:w="80" w:type="dxa"/>
              <w:bottom w:w="40" w:type="dxa"/>
              <w:right w:w="80" w:type="dxa"/>
            </w:tcMar>
          </w:tcPr>
          <w:p w14:paraId="5EA6AC9B" w14:textId="77777777" w:rsidR="00CC35C8" w:rsidRDefault="00000000">
            <w:r>
              <w:rPr>
                <w:b/>
                <w:color w:val="2C3E50"/>
                <w:sz w:val="17"/>
              </w:rPr>
              <w:t>AFIR spacing: Core / Comp. / Gen.</w:t>
            </w:r>
          </w:p>
        </w:tc>
        <w:tc>
          <w:tcPr>
            <w:tcW w:w="3211" w:type="dxa"/>
            <w:shd w:val="clear" w:color="auto" w:fill="EBF1F8"/>
            <w:tcMar>
              <w:top w:w="40" w:type="dxa"/>
              <w:left w:w="80" w:type="dxa"/>
              <w:bottom w:w="40" w:type="dxa"/>
              <w:right w:w="80" w:type="dxa"/>
            </w:tcMar>
          </w:tcPr>
          <w:p w14:paraId="3B38983E" w14:textId="77777777" w:rsidR="00CC35C8" w:rsidRDefault="00000000">
            <w:r>
              <w:rPr>
                <w:color w:val="2C3E50"/>
                <w:sz w:val="17"/>
              </w:rPr>
              <w:t>60 / 100 / 120 km</w:t>
            </w:r>
          </w:p>
        </w:tc>
        <w:tc>
          <w:tcPr>
            <w:tcW w:w="3211" w:type="dxa"/>
            <w:shd w:val="clear" w:color="auto" w:fill="EBF1F8"/>
            <w:tcMar>
              <w:top w:w="40" w:type="dxa"/>
              <w:left w:w="80" w:type="dxa"/>
              <w:bottom w:w="40" w:type="dxa"/>
              <w:right w:w="80" w:type="dxa"/>
            </w:tcMar>
          </w:tcPr>
          <w:p w14:paraId="05354583" w14:textId="77777777" w:rsidR="00CC35C8" w:rsidRDefault="00000000">
            <w:r>
              <w:rPr>
                <w:color w:val="2C3E50"/>
                <w:sz w:val="17"/>
              </w:rPr>
              <w:t>AFIR 2023/1804, Art. 3</w:t>
            </w:r>
          </w:p>
        </w:tc>
      </w:tr>
      <w:tr w:rsidR="00CC35C8" w14:paraId="01F70CA4" w14:textId="77777777">
        <w:trPr>
          <w:jc w:val="center"/>
        </w:trPr>
        <w:tc>
          <w:tcPr>
            <w:tcW w:w="3211" w:type="dxa"/>
            <w:shd w:val="clear" w:color="auto" w:fill="FFFFFF"/>
            <w:tcMar>
              <w:top w:w="40" w:type="dxa"/>
              <w:left w:w="80" w:type="dxa"/>
              <w:bottom w:w="40" w:type="dxa"/>
              <w:right w:w="80" w:type="dxa"/>
            </w:tcMar>
          </w:tcPr>
          <w:p w14:paraId="2A69923E" w14:textId="77777777" w:rsidR="00CC35C8" w:rsidRDefault="00000000">
            <w:r>
              <w:rPr>
                <w:b/>
                <w:color w:val="2C3E50"/>
                <w:sz w:val="17"/>
              </w:rPr>
              <w:t>BEV share of EV fleet</w:t>
            </w:r>
          </w:p>
        </w:tc>
        <w:tc>
          <w:tcPr>
            <w:tcW w:w="3211" w:type="dxa"/>
            <w:shd w:val="clear" w:color="auto" w:fill="FFFFFF"/>
            <w:tcMar>
              <w:top w:w="40" w:type="dxa"/>
              <w:left w:w="80" w:type="dxa"/>
              <w:bottom w:w="40" w:type="dxa"/>
              <w:right w:w="80" w:type="dxa"/>
            </w:tcMar>
          </w:tcPr>
          <w:p w14:paraId="2F1C2393" w14:textId="77777777" w:rsidR="00CC35C8" w:rsidRDefault="00000000">
            <w:r>
              <w:rPr>
                <w:color w:val="2C3E50"/>
                <w:sz w:val="17"/>
              </w:rPr>
              <w:t>60%</w:t>
            </w:r>
          </w:p>
        </w:tc>
        <w:tc>
          <w:tcPr>
            <w:tcW w:w="3211" w:type="dxa"/>
            <w:shd w:val="clear" w:color="auto" w:fill="FFFFFF"/>
            <w:tcMar>
              <w:top w:w="40" w:type="dxa"/>
              <w:left w:w="80" w:type="dxa"/>
              <w:bottom w:w="40" w:type="dxa"/>
              <w:right w:w="80" w:type="dxa"/>
            </w:tcMar>
          </w:tcPr>
          <w:p w14:paraId="658D8A14" w14:textId="77777777" w:rsidR="00CC35C8" w:rsidRDefault="00000000">
            <w:r>
              <w:rPr>
                <w:color w:val="2C3E50"/>
                <w:sz w:val="17"/>
              </w:rPr>
              <w:t>IEA GEVO 2025; DGT registration data</w:t>
            </w:r>
          </w:p>
        </w:tc>
      </w:tr>
      <w:tr w:rsidR="00CC35C8" w14:paraId="25568162" w14:textId="77777777">
        <w:trPr>
          <w:jc w:val="center"/>
        </w:trPr>
        <w:tc>
          <w:tcPr>
            <w:tcW w:w="3211" w:type="dxa"/>
            <w:shd w:val="clear" w:color="auto" w:fill="EBF1F8"/>
            <w:tcMar>
              <w:top w:w="40" w:type="dxa"/>
              <w:left w:w="80" w:type="dxa"/>
              <w:bottom w:w="40" w:type="dxa"/>
              <w:right w:w="80" w:type="dxa"/>
            </w:tcMar>
          </w:tcPr>
          <w:p w14:paraId="7DACAE37" w14:textId="77777777" w:rsidR="00CC35C8" w:rsidRDefault="00000000">
            <w:r>
              <w:rPr>
                <w:b/>
                <w:color w:val="2C3E50"/>
                <w:sz w:val="17"/>
              </w:rPr>
              <w:t>Min. chargers: TEN-T / other</w:t>
            </w:r>
          </w:p>
        </w:tc>
        <w:tc>
          <w:tcPr>
            <w:tcW w:w="3211" w:type="dxa"/>
            <w:shd w:val="clear" w:color="auto" w:fill="EBF1F8"/>
            <w:tcMar>
              <w:top w:w="40" w:type="dxa"/>
              <w:left w:w="80" w:type="dxa"/>
              <w:bottom w:w="40" w:type="dxa"/>
              <w:right w:w="80" w:type="dxa"/>
            </w:tcMar>
          </w:tcPr>
          <w:p w14:paraId="64A46E7D" w14:textId="77777777" w:rsidR="00CC35C8" w:rsidRDefault="00000000">
            <w:r>
              <w:rPr>
                <w:color w:val="2C3E50"/>
                <w:sz w:val="17"/>
              </w:rPr>
              <w:t>4 / 2</w:t>
            </w:r>
          </w:p>
        </w:tc>
        <w:tc>
          <w:tcPr>
            <w:tcW w:w="3211" w:type="dxa"/>
            <w:shd w:val="clear" w:color="auto" w:fill="EBF1F8"/>
            <w:tcMar>
              <w:top w:w="40" w:type="dxa"/>
              <w:left w:w="80" w:type="dxa"/>
              <w:bottom w:w="40" w:type="dxa"/>
              <w:right w:w="80" w:type="dxa"/>
            </w:tcMar>
          </w:tcPr>
          <w:p w14:paraId="132FA195" w14:textId="77777777" w:rsidR="00CC35C8" w:rsidRDefault="00000000">
            <w:r>
              <w:rPr>
                <w:color w:val="2C3E50"/>
                <w:sz w:val="17"/>
              </w:rPr>
              <w:t>AFIR Annex II (600 kW min. by 2027)</w:t>
            </w:r>
          </w:p>
        </w:tc>
      </w:tr>
    </w:tbl>
    <w:p w14:paraId="56C5D174" w14:textId="77777777" w:rsidR="00E261B4" w:rsidRDefault="00E261B4">
      <w:pPr>
        <w:spacing w:before="80" w:after="30"/>
        <w:rPr>
          <w:b/>
          <w:color w:val="2C3E50"/>
          <w:sz w:val="18"/>
        </w:rPr>
      </w:pPr>
    </w:p>
    <w:p w14:paraId="02AE658C" w14:textId="725F8D8A" w:rsidR="00CC35C8" w:rsidRDefault="00000000">
      <w:pPr>
        <w:spacing w:before="80" w:after="30"/>
      </w:pPr>
      <w:r>
        <w:rPr>
          <w:b/>
          <w:color w:val="2C3E50"/>
          <w:sz w:val="18"/>
        </w:rPr>
        <w:t>Grid Classification Thresholds</w:t>
      </w:r>
    </w:p>
    <w:tbl>
      <w:tblPr>
        <w:tblW w:w="0" w:type="auto"/>
        <w:jc w:val="center"/>
        <w:tblBorders>
          <w:insideH w:val="single" w:sz="8" w:space="0" w:color="FFFFFF"/>
          <w:insideV w:val="single" w:sz="8" w:space="0" w:color="FFFFFF"/>
        </w:tblBorders>
        <w:tblLook w:val="04A0" w:firstRow="1" w:lastRow="0" w:firstColumn="1" w:lastColumn="0" w:noHBand="0" w:noVBand="1"/>
      </w:tblPr>
      <w:tblGrid>
        <w:gridCol w:w="3211"/>
        <w:gridCol w:w="3211"/>
        <w:gridCol w:w="3211"/>
      </w:tblGrid>
      <w:tr w:rsidR="00CC35C8" w14:paraId="4E75C7D2" w14:textId="77777777">
        <w:trPr>
          <w:jc w:val="center"/>
        </w:trPr>
        <w:tc>
          <w:tcPr>
            <w:tcW w:w="3211" w:type="dxa"/>
            <w:shd w:val="clear" w:color="auto" w:fill="27AE60"/>
            <w:tcMar>
              <w:top w:w="50" w:type="dxa"/>
              <w:left w:w="90" w:type="dxa"/>
              <w:bottom w:w="50" w:type="dxa"/>
              <w:right w:w="90" w:type="dxa"/>
            </w:tcMar>
          </w:tcPr>
          <w:p w14:paraId="777A5045" w14:textId="77777777" w:rsidR="00CC35C8" w:rsidRDefault="00000000">
            <w:pPr>
              <w:jc w:val="center"/>
            </w:pPr>
            <w:r>
              <w:rPr>
                <w:b/>
                <w:color w:val="FFFFFF"/>
                <w:sz w:val="18"/>
              </w:rPr>
              <w:t>Sufficient</w:t>
            </w:r>
          </w:p>
        </w:tc>
        <w:tc>
          <w:tcPr>
            <w:tcW w:w="3211" w:type="dxa"/>
            <w:shd w:val="clear" w:color="auto" w:fill="EAFAF1"/>
            <w:tcMar>
              <w:top w:w="50" w:type="dxa"/>
              <w:left w:w="70" w:type="dxa"/>
              <w:bottom w:w="50" w:type="dxa"/>
              <w:right w:w="70" w:type="dxa"/>
            </w:tcMar>
          </w:tcPr>
          <w:p w14:paraId="2A6671EA" w14:textId="77777777" w:rsidR="00CC35C8" w:rsidRDefault="00000000">
            <w:pPr>
              <w:jc w:val="center"/>
            </w:pPr>
            <w:r>
              <w:rPr>
                <w:b/>
                <w:color w:val="27AE60"/>
                <w:sz w:val="18"/>
              </w:rPr>
              <w:t>&gt;=5 MW</w:t>
            </w:r>
          </w:p>
        </w:tc>
        <w:tc>
          <w:tcPr>
            <w:tcW w:w="3211" w:type="dxa"/>
            <w:shd w:val="clear" w:color="auto" w:fill="EAFAF1"/>
            <w:tcMar>
              <w:top w:w="50" w:type="dxa"/>
              <w:left w:w="70" w:type="dxa"/>
              <w:bottom w:w="50" w:type="dxa"/>
              <w:right w:w="70" w:type="dxa"/>
            </w:tcMar>
          </w:tcPr>
          <w:p w14:paraId="372CD861" w14:textId="77777777" w:rsidR="00CC35C8" w:rsidRDefault="00000000">
            <w:r>
              <w:rPr>
                <w:color w:val="34495E"/>
                <w:sz w:val="17"/>
              </w:rPr>
              <w:t>Station load + 3x expansion + PF 0.8 (CNMC)</w:t>
            </w:r>
          </w:p>
        </w:tc>
      </w:tr>
      <w:tr w:rsidR="00CC35C8" w14:paraId="3EB90032" w14:textId="77777777">
        <w:trPr>
          <w:jc w:val="center"/>
        </w:trPr>
        <w:tc>
          <w:tcPr>
            <w:tcW w:w="3211" w:type="dxa"/>
            <w:shd w:val="clear" w:color="auto" w:fill="E67E22"/>
            <w:tcMar>
              <w:top w:w="50" w:type="dxa"/>
              <w:left w:w="90" w:type="dxa"/>
              <w:bottom w:w="50" w:type="dxa"/>
              <w:right w:w="90" w:type="dxa"/>
            </w:tcMar>
          </w:tcPr>
          <w:p w14:paraId="177FA12D" w14:textId="77777777" w:rsidR="00CC35C8" w:rsidRDefault="00000000">
            <w:pPr>
              <w:jc w:val="center"/>
            </w:pPr>
            <w:r>
              <w:rPr>
                <w:b/>
                <w:color w:val="FFFFFF"/>
                <w:sz w:val="18"/>
              </w:rPr>
              <w:t>Moderate</w:t>
            </w:r>
          </w:p>
        </w:tc>
        <w:tc>
          <w:tcPr>
            <w:tcW w:w="3211" w:type="dxa"/>
            <w:shd w:val="clear" w:color="auto" w:fill="FEF5E7"/>
            <w:tcMar>
              <w:top w:w="50" w:type="dxa"/>
              <w:left w:w="70" w:type="dxa"/>
              <w:bottom w:w="50" w:type="dxa"/>
              <w:right w:w="70" w:type="dxa"/>
            </w:tcMar>
          </w:tcPr>
          <w:p w14:paraId="165705AE" w14:textId="77777777" w:rsidR="00CC35C8" w:rsidRDefault="00000000">
            <w:pPr>
              <w:jc w:val="center"/>
            </w:pPr>
            <w:r>
              <w:rPr>
                <w:b/>
                <w:color w:val="E67E22"/>
                <w:sz w:val="18"/>
              </w:rPr>
              <w:t>1 - 5 MW</w:t>
            </w:r>
          </w:p>
        </w:tc>
        <w:tc>
          <w:tcPr>
            <w:tcW w:w="3211" w:type="dxa"/>
            <w:shd w:val="clear" w:color="auto" w:fill="FEF5E7"/>
            <w:tcMar>
              <w:top w:w="50" w:type="dxa"/>
              <w:left w:w="70" w:type="dxa"/>
              <w:bottom w:w="50" w:type="dxa"/>
              <w:right w:w="70" w:type="dxa"/>
            </w:tcMar>
          </w:tcPr>
          <w:p w14:paraId="23819EE2" w14:textId="37AAEC8A" w:rsidR="00CC35C8" w:rsidRDefault="00000000">
            <w:r>
              <w:rPr>
                <w:color w:val="34495E"/>
                <w:sz w:val="17"/>
              </w:rPr>
              <w:t xml:space="preserve">Partial </w:t>
            </w:r>
            <w:r w:rsidR="006A0CA3">
              <w:rPr>
                <w:color w:val="34495E"/>
                <w:sz w:val="17"/>
              </w:rPr>
              <w:t xml:space="preserve">grid </w:t>
            </w:r>
            <w:r>
              <w:rPr>
                <w:color w:val="34495E"/>
                <w:sz w:val="17"/>
              </w:rPr>
              <w:t>reinforcement needed (IDAE)</w:t>
            </w:r>
          </w:p>
        </w:tc>
      </w:tr>
      <w:tr w:rsidR="00CC35C8" w14:paraId="57B3B9F6" w14:textId="77777777">
        <w:trPr>
          <w:jc w:val="center"/>
        </w:trPr>
        <w:tc>
          <w:tcPr>
            <w:tcW w:w="3211" w:type="dxa"/>
            <w:shd w:val="clear" w:color="auto" w:fill="C0392B"/>
            <w:tcMar>
              <w:top w:w="50" w:type="dxa"/>
              <w:left w:w="90" w:type="dxa"/>
              <w:bottom w:w="50" w:type="dxa"/>
              <w:right w:w="90" w:type="dxa"/>
            </w:tcMar>
          </w:tcPr>
          <w:p w14:paraId="5A494B90" w14:textId="77777777" w:rsidR="00CC35C8" w:rsidRDefault="00000000">
            <w:pPr>
              <w:jc w:val="center"/>
            </w:pPr>
            <w:r>
              <w:rPr>
                <w:b/>
                <w:color w:val="FFFFFF"/>
                <w:sz w:val="18"/>
              </w:rPr>
              <w:t>Congested</w:t>
            </w:r>
          </w:p>
        </w:tc>
        <w:tc>
          <w:tcPr>
            <w:tcW w:w="3211" w:type="dxa"/>
            <w:shd w:val="clear" w:color="auto" w:fill="FDEDEC"/>
            <w:tcMar>
              <w:top w:w="50" w:type="dxa"/>
              <w:left w:w="70" w:type="dxa"/>
              <w:bottom w:w="50" w:type="dxa"/>
              <w:right w:w="70" w:type="dxa"/>
            </w:tcMar>
          </w:tcPr>
          <w:p w14:paraId="48E4C581" w14:textId="77777777" w:rsidR="00CC35C8" w:rsidRDefault="00000000">
            <w:pPr>
              <w:jc w:val="center"/>
            </w:pPr>
            <w:r>
              <w:rPr>
                <w:b/>
                <w:color w:val="C0392B"/>
                <w:sz w:val="18"/>
              </w:rPr>
              <w:t>&lt;1 MW</w:t>
            </w:r>
          </w:p>
        </w:tc>
        <w:tc>
          <w:tcPr>
            <w:tcW w:w="3211" w:type="dxa"/>
            <w:shd w:val="clear" w:color="auto" w:fill="FDEDEC"/>
            <w:tcMar>
              <w:top w:w="50" w:type="dxa"/>
              <w:left w:w="70" w:type="dxa"/>
              <w:bottom w:w="50" w:type="dxa"/>
              <w:right w:w="70" w:type="dxa"/>
            </w:tcMar>
          </w:tcPr>
          <w:p w14:paraId="0B79B8D0" w14:textId="238FCE7A" w:rsidR="00CC35C8" w:rsidRDefault="00000000">
            <w:r>
              <w:rPr>
                <w:color w:val="34495E"/>
                <w:sz w:val="17"/>
              </w:rPr>
              <w:t xml:space="preserve">Full </w:t>
            </w:r>
            <w:r w:rsidR="006A0CA3">
              <w:rPr>
                <w:color w:val="34495E"/>
                <w:sz w:val="17"/>
              </w:rPr>
              <w:t xml:space="preserve">grid </w:t>
            </w:r>
            <w:r>
              <w:rPr>
                <w:color w:val="34495E"/>
                <w:sz w:val="17"/>
              </w:rPr>
              <w:t>reinforcement required</w:t>
            </w:r>
          </w:p>
        </w:tc>
      </w:tr>
    </w:tbl>
    <w:p w14:paraId="4C31C863" w14:textId="77777777" w:rsidR="00ED2D4E" w:rsidRDefault="00ED2D4E">
      <w:pPr>
        <w:spacing w:before="80"/>
      </w:pPr>
    </w:p>
    <w:p w14:paraId="24F1E743" w14:textId="4456ACD9" w:rsidR="00CC35C8" w:rsidRDefault="00000000">
      <w:pPr>
        <w:spacing w:before="80"/>
      </w:pPr>
      <w:r>
        <w:t>The 5 MW "Sufficient" threshold reflects a peak station load of 600 kW (4 chargers at 150 kW), existing local demand, a 3x expansion margin, and a power factor of 0.8, consistent with CNMC medium-voltage connection standards. The 120 km general spacing derives from the 255 km effective range divided by a 2.1x safety factor, matching international planning practice (IEA, Norway NPRA). Stations beyond 25 km from a substation are classified Congested regardless of capacity, per IDAE guidelines on connection cost feasibility.</w:t>
      </w:r>
    </w:p>
    <w:p w14:paraId="6F41C775" w14:textId="77777777" w:rsidR="00CC35C8" w:rsidRDefault="00000000">
      <w:pPr>
        <w:pStyle w:val="Heading1"/>
      </w:pPr>
      <w:r>
        <w:lastRenderedPageBreak/>
        <w:t>4. Results</w:t>
      </w:r>
    </w:p>
    <w:p w14:paraId="498DD6B4" w14:textId="77777777" w:rsidR="00CC35C8" w:rsidRDefault="00000000">
      <w:pPr>
        <w:pStyle w:val="Heading2"/>
      </w:pPr>
      <w:r>
        <w:t>4.1 Coverage Gaps and Proposed Network</w:t>
      </w:r>
    </w:p>
    <w:p w14:paraId="61729353" w14:textId="77777777" w:rsidR="00CC35C8" w:rsidRDefault="00000000">
      <w:r>
        <w:t>Mapping 3,246 existing fast chargers (&gt;=50 kW) onto the interurban network with per-route linear referencing reveals 8 AFIR coverage gaps across 8 routes: 3 on TEN-T Core (exceeding 60 km), 2 on TEN-T Comprehensive (exceeding 100 km), and 3 on general interurban roads (exceeding 120 km). The longest gap is the N-435 at 149 km, the primary link between Huelva and Extremadura. Our sequential greedy optimization fills all gaps with 8 new stations and 26 chargers (3,900 kW total), reducing remaining AFIR violations to zero.</w:t>
      </w:r>
    </w:p>
    <w:tbl>
      <w:tblPr>
        <w:tblStyle w:val="LightGrid-Accent1"/>
        <w:tblW w:w="5000" w:type="pct"/>
        <w:jc w:val="center"/>
        <w:tblBorders>
          <w:top w:val="single" w:sz="4" w:space="0" w:color="B0C4DE"/>
          <w:left w:val="none" w:sz="0" w:space="0" w:color="auto"/>
          <w:bottom w:val="single" w:sz="4" w:space="0" w:color="B0C4DE"/>
          <w:right w:val="none" w:sz="0" w:space="0" w:color="auto"/>
          <w:insideH w:val="single" w:sz="4" w:space="0" w:color="B0C4DE"/>
          <w:insideV w:val="none" w:sz="0" w:space="0" w:color="auto"/>
        </w:tblBorders>
        <w:tblLook w:val="04A0" w:firstRow="1" w:lastRow="0" w:firstColumn="1" w:lastColumn="0" w:noHBand="0" w:noVBand="1"/>
      </w:tblPr>
      <w:tblGrid>
        <w:gridCol w:w="1632"/>
        <w:gridCol w:w="1632"/>
        <w:gridCol w:w="1632"/>
        <w:gridCol w:w="1632"/>
        <w:gridCol w:w="1632"/>
        <w:gridCol w:w="1632"/>
      </w:tblGrid>
      <w:tr w:rsidR="00CC35C8" w14:paraId="795E3617" w14:textId="77777777" w:rsidTr="00CC35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003366"/>
            <w:tcMar>
              <w:top w:w="40" w:type="dxa"/>
              <w:left w:w="80" w:type="dxa"/>
              <w:bottom w:w="40" w:type="dxa"/>
              <w:right w:w="80" w:type="dxa"/>
            </w:tcMar>
          </w:tcPr>
          <w:p w14:paraId="038AD27D" w14:textId="77777777" w:rsidR="00CC35C8" w:rsidRDefault="00000000">
            <w:r>
              <w:rPr>
                <w:color w:val="FFFFFF"/>
                <w:sz w:val="18"/>
              </w:rPr>
              <w:t>Station</w:t>
            </w:r>
          </w:p>
        </w:tc>
        <w:tc>
          <w:tcPr>
            <w:tcW w:w="1605" w:type="dxa"/>
            <w:shd w:val="clear" w:color="auto" w:fill="003366"/>
            <w:tcMar>
              <w:top w:w="40" w:type="dxa"/>
              <w:left w:w="80" w:type="dxa"/>
              <w:bottom w:w="40" w:type="dxa"/>
              <w:right w:w="80" w:type="dxa"/>
            </w:tcMar>
          </w:tcPr>
          <w:p w14:paraId="7FB9B822" w14:textId="77777777" w:rsidR="00CC35C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Route</w:t>
            </w:r>
          </w:p>
        </w:tc>
        <w:tc>
          <w:tcPr>
            <w:tcW w:w="1605" w:type="dxa"/>
            <w:shd w:val="clear" w:color="auto" w:fill="003366"/>
            <w:tcMar>
              <w:top w:w="40" w:type="dxa"/>
              <w:left w:w="80" w:type="dxa"/>
              <w:bottom w:w="40" w:type="dxa"/>
              <w:right w:w="80" w:type="dxa"/>
            </w:tcMar>
          </w:tcPr>
          <w:p w14:paraId="12D9EF6F" w14:textId="77777777" w:rsidR="00CC35C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Chargers</w:t>
            </w:r>
          </w:p>
        </w:tc>
        <w:tc>
          <w:tcPr>
            <w:tcW w:w="1605" w:type="dxa"/>
            <w:shd w:val="clear" w:color="auto" w:fill="003366"/>
            <w:tcMar>
              <w:top w:w="40" w:type="dxa"/>
              <w:left w:w="80" w:type="dxa"/>
              <w:bottom w:w="40" w:type="dxa"/>
              <w:right w:w="80" w:type="dxa"/>
            </w:tcMar>
          </w:tcPr>
          <w:p w14:paraId="4DC32B32" w14:textId="77777777" w:rsidR="00CC35C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kW</w:t>
            </w:r>
          </w:p>
        </w:tc>
        <w:tc>
          <w:tcPr>
            <w:tcW w:w="1605" w:type="dxa"/>
            <w:shd w:val="clear" w:color="auto" w:fill="003366"/>
            <w:tcMar>
              <w:top w:w="40" w:type="dxa"/>
              <w:left w:w="80" w:type="dxa"/>
              <w:bottom w:w="40" w:type="dxa"/>
              <w:right w:w="80" w:type="dxa"/>
            </w:tcMar>
          </w:tcPr>
          <w:p w14:paraId="535D0E01" w14:textId="77777777" w:rsidR="00CC35C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Grid Status</w:t>
            </w:r>
          </w:p>
        </w:tc>
        <w:tc>
          <w:tcPr>
            <w:tcW w:w="1605" w:type="dxa"/>
            <w:shd w:val="clear" w:color="auto" w:fill="003366"/>
            <w:tcMar>
              <w:top w:w="40" w:type="dxa"/>
              <w:left w:w="80" w:type="dxa"/>
              <w:bottom w:w="40" w:type="dxa"/>
              <w:right w:w="80" w:type="dxa"/>
            </w:tcMar>
          </w:tcPr>
          <w:p w14:paraId="33EF2B55" w14:textId="77777777" w:rsidR="00CC35C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Utilization</w:t>
            </w:r>
          </w:p>
        </w:tc>
      </w:tr>
      <w:tr w:rsidR="00CC35C8" w14:paraId="33640BD3" w14:textId="77777777" w:rsidTr="00CC3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FFFFFF"/>
            <w:tcMar>
              <w:top w:w="40" w:type="dxa"/>
              <w:left w:w="80" w:type="dxa"/>
              <w:bottom w:w="40" w:type="dxa"/>
              <w:right w:w="80" w:type="dxa"/>
            </w:tcMar>
          </w:tcPr>
          <w:p w14:paraId="2E4E04DF" w14:textId="77777777" w:rsidR="00CC35C8" w:rsidRDefault="00000000">
            <w:r>
              <w:rPr>
                <w:color w:val="2C3E50"/>
                <w:sz w:val="17"/>
              </w:rPr>
              <w:t>STA_0001</w:t>
            </w:r>
          </w:p>
        </w:tc>
        <w:tc>
          <w:tcPr>
            <w:tcW w:w="1605" w:type="dxa"/>
            <w:shd w:val="clear" w:color="auto" w:fill="FFFFFF"/>
            <w:tcMar>
              <w:top w:w="40" w:type="dxa"/>
              <w:left w:w="80" w:type="dxa"/>
              <w:bottom w:w="40" w:type="dxa"/>
              <w:right w:w="80" w:type="dxa"/>
            </w:tcMar>
          </w:tcPr>
          <w:p w14:paraId="021DA3E0"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N-322</w:t>
            </w:r>
          </w:p>
        </w:tc>
        <w:tc>
          <w:tcPr>
            <w:tcW w:w="1605" w:type="dxa"/>
            <w:shd w:val="clear" w:color="auto" w:fill="FFFFFF"/>
            <w:tcMar>
              <w:top w:w="40" w:type="dxa"/>
              <w:left w:w="80" w:type="dxa"/>
              <w:bottom w:w="40" w:type="dxa"/>
              <w:right w:w="80" w:type="dxa"/>
            </w:tcMar>
          </w:tcPr>
          <w:p w14:paraId="46247914"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4</w:t>
            </w:r>
          </w:p>
        </w:tc>
        <w:tc>
          <w:tcPr>
            <w:tcW w:w="1605" w:type="dxa"/>
            <w:shd w:val="clear" w:color="auto" w:fill="FFFFFF"/>
            <w:tcMar>
              <w:top w:w="40" w:type="dxa"/>
              <w:left w:w="80" w:type="dxa"/>
              <w:bottom w:w="40" w:type="dxa"/>
              <w:right w:w="80" w:type="dxa"/>
            </w:tcMar>
          </w:tcPr>
          <w:p w14:paraId="0045D0A9"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600</w:t>
            </w:r>
          </w:p>
        </w:tc>
        <w:tc>
          <w:tcPr>
            <w:tcW w:w="1605" w:type="dxa"/>
            <w:shd w:val="clear" w:color="auto" w:fill="FADBD8"/>
            <w:tcMar>
              <w:top w:w="40" w:type="dxa"/>
              <w:left w:w="80" w:type="dxa"/>
              <w:bottom w:w="40" w:type="dxa"/>
              <w:right w:w="80" w:type="dxa"/>
            </w:tcMar>
          </w:tcPr>
          <w:p w14:paraId="11628617"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b/>
                <w:color w:val="C0392B"/>
                <w:sz w:val="17"/>
              </w:rPr>
              <w:t>Congested</w:t>
            </w:r>
          </w:p>
        </w:tc>
        <w:tc>
          <w:tcPr>
            <w:tcW w:w="1605" w:type="dxa"/>
            <w:shd w:val="clear" w:color="auto" w:fill="FDEBD0"/>
            <w:tcMar>
              <w:top w:w="40" w:type="dxa"/>
              <w:left w:w="80" w:type="dxa"/>
              <w:bottom w:w="40" w:type="dxa"/>
              <w:right w:w="80" w:type="dxa"/>
            </w:tcMar>
          </w:tcPr>
          <w:p w14:paraId="0BBED7A8"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6%</w:t>
            </w:r>
          </w:p>
        </w:tc>
      </w:tr>
      <w:tr w:rsidR="00CC35C8" w14:paraId="496FD3CD" w14:textId="77777777" w:rsidTr="00CC35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EBF1F8"/>
            <w:tcMar>
              <w:top w:w="40" w:type="dxa"/>
              <w:left w:w="80" w:type="dxa"/>
              <w:bottom w:w="40" w:type="dxa"/>
              <w:right w:w="80" w:type="dxa"/>
            </w:tcMar>
          </w:tcPr>
          <w:p w14:paraId="202667BD" w14:textId="77777777" w:rsidR="00CC35C8" w:rsidRDefault="00000000">
            <w:r>
              <w:rPr>
                <w:color w:val="2C3E50"/>
                <w:sz w:val="17"/>
              </w:rPr>
              <w:t>STA_0002</w:t>
            </w:r>
          </w:p>
        </w:tc>
        <w:tc>
          <w:tcPr>
            <w:tcW w:w="1605" w:type="dxa"/>
            <w:shd w:val="clear" w:color="auto" w:fill="EBF1F8"/>
            <w:tcMar>
              <w:top w:w="40" w:type="dxa"/>
              <w:left w:w="80" w:type="dxa"/>
              <w:bottom w:w="40" w:type="dxa"/>
              <w:right w:w="80" w:type="dxa"/>
            </w:tcMar>
          </w:tcPr>
          <w:p w14:paraId="7C6691A7"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N-433</w:t>
            </w:r>
          </w:p>
        </w:tc>
        <w:tc>
          <w:tcPr>
            <w:tcW w:w="1605" w:type="dxa"/>
            <w:shd w:val="clear" w:color="auto" w:fill="EBF1F8"/>
            <w:tcMar>
              <w:top w:w="40" w:type="dxa"/>
              <w:left w:w="80" w:type="dxa"/>
              <w:bottom w:w="40" w:type="dxa"/>
              <w:right w:w="80" w:type="dxa"/>
            </w:tcMar>
          </w:tcPr>
          <w:p w14:paraId="05EEA543"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4</w:t>
            </w:r>
          </w:p>
        </w:tc>
        <w:tc>
          <w:tcPr>
            <w:tcW w:w="1605" w:type="dxa"/>
            <w:shd w:val="clear" w:color="auto" w:fill="EBF1F8"/>
            <w:tcMar>
              <w:top w:w="40" w:type="dxa"/>
              <w:left w:w="80" w:type="dxa"/>
              <w:bottom w:w="40" w:type="dxa"/>
              <w:right w:w="80" w:type="dxa"/>
            </w:tcMar>
          </w:tcPr>
          <w:p w14:paraId="2F46BCE7"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600</w:t>
            </w:r>
          </w:p>
        </w:tc>
        <w:tc>
          <w:tcPr>
            <w:tcW w:w="1605" w:type="dxa"/>
            <w:shd w:val="clear" w:color="auto" w:fill="FADBD8"/>
            <w:tcMar>
              <w:top w:w="40" w:type="dxa"/>
              <w:left w:w="80" w:type="dxa"/>
              <w:bottom w:w="40" w:type="dxa"/>
              <w:right w:w="80" w:type="dxa"/>
            </w:tcMar>
          </w:tcPr>
          <w:p w14:paraId="47C9C149"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b/>
                <w:color w:val="C0392B"/>
                <w:sz w:val="17"/>
              </w:rPr>
              <w:t>Congested</w:t>
            </w:r>
          </w:p>
        </w:tc>
        <w:tc>
          <w:tcPr>
            <w:tcW w:w="1605" w:type="dxa"/>
            <w:shd w:val="clear" w:color="auto" w:fill="FDEBD0"/>
            <w:tcMar>
              <w:top w:w="40" w:type="dxa"/>
              <w:left w:w="80" w:type="dxa"/>
              <w:bottom w:w="40" w:type="dxa"/>
              <w:right w:w="80" w:type="dxa"/>
            </w:tcMar>
          </w:tcPr>
          <w:p w14:paraId="2208DF6B"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10%</w:t>
            </w:r>
          </w:p>
        </w:tc>
      </w:tr>
      <w:tr w:rsidR="00CC35C8" w14:paraId="555EBEB6" w14:textId="77777777" w:rsidTr="00CC3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FFFFFF"/>
            <w:tcMar>
              <w:top w:w="40" w:type="dxa"/>
              <w:left w:w="80" w:type="dxa"/>
              <w:bottom w:w="40" w:type="dxa"/>
              <w:right w:w="80" w:type="dxa"/>
            </w:tcMar>
          </w:tcPr>
          <w:p w14:paraId="621D47B2" w14:textId="77777777" w:rsidR="00CC35C8" w:rsidRDefault="00000000">
            <w:r>
              <w:rPr>
                <w:color w:val="2C3E50"/>
                <w:sz w:val="17"/>
              </w:rPr>
              <w:t>STA_0003</w:t>
            </w:r>
          </w:p>
        </w:tc>
        <w:tc>
          <w:tcPr>
            <w:tcW w:w="1605" w:type="dxa"/>
            <w:shd w:val="clear" w:color="auto" w:fill="FFFFFF"/>
            <w:tcMar>
              <w:top w:w="40" w:type="dxa"/>
              <w:left w:w="80" w:type="dxa"/>
              <w:bottom w:w="40" w:type="dxa"/>
              <w:right w:w="80" w:type="dxa"/>
            </w:tcMar>
          </w:tcPr>
          <w:p w14:paraId="18546AE8"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AP-2</w:t>
            </w:r>
          </w:p>
        </w:tc>
        <w:tc>
          <w:tcPr>
            <w:tcW w:w="1605" w:type="dxa"/>
            <w:shd w:val="clear" w:color="auto" w:fill="FFFFFF"/>
            <w:tcMar>
              <w:top w:w="40" w:type="dxa"/>
              <w:left w:w="80" w:type="dxa"/>
              <w:bottom w:w="40" w:type="dxa"/>
              <w:right w:w="80" w:type="dxa"/>
            </w:tcMar>
          </w:tcPr>
          <w:p w14:paraId="799607B1"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4</w:t>
            </w:r>
          </w:p>
        </w:tc>
        <w:tc>
          <w:tcPr>
            <w:tcW w:w="1605" w:type="dxa"/>
            <w:shd w:val="clear" w:color="auto" w:fill="FFFFFF"/>
            <w:tcMar>
              <w:top w:w="40" w:type="dxa"/>
              <w:left w:w="80" w:type="dxa"/>
              <w:bottom w:w="40" w:type="dxa"/>
              <w:right w:w="80" w:type="dxa"/>
            </w:tcMar>
          </w:tcPr>
          <w:p w14:paraId="0BB20119"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600</w:t>
            </w:r>
          </w:p>
        </w:tc>
        <w:tc>
          <w:tcPr>
            <w:tcW w:w="1605" w:type="dxa"/>
            <w:shd w:val="clear" w:color="auto" w:fill="FADBD8"/>
            <w:tcMar>
              <w:top w:w="40" w:type="dxa"/>
              <w:left w:w="80" w:type="dxa"/>
              <w:bottom w:w="40" w:type="dxa"/>
              <w:right w:w="80" w:type="dxa"/>
            </w:tcMar>
          </w:tcPr>
          <w:p w14:paraId="46E0CFDB"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b/>
                <w:color w:val="C0392B"/>
                <w:sz w:val="17"/>
              </w:rPr>
              <w:t>Congested</w:t>
            </w:r>
          </w:p>
        </w:tc>
        <w:tc>
          <w:tcPr>
            <w:tcW w:w="1605" w:type="dxa"/>
            <w:shd w:val="clear" w:color="auto" w:fill="D5F5E3"/>
            <w:tcMar>
              <w:top w:w="40" w:type="dxa"/>
              <w:left w:w="80" w:type="dxa"/>
              <w:bottom w:w="40" w:type="dxa"/>
              <w:right w:w="80" w:type="dxa"/>
            </w:tcMar>
          </w:tcPr>
          <w:p w14:paraId="3992F21B"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35%</w:t>
            </w:r>
          </w:p>
        </w:tc>
      </w:tr>
      <w:tr w:rsidR="00CC35C8" w14:paraId="41F4C767" w14:textId="77777777" w:rsidTr="00CC35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EBF1F8"/>
            <w:tcMar>
              <w:top w:w="40" w:type="dxa"/>
              <w:left w:w="80" w:type="dxa"/>
              <w:bottom w:w="40" w:type="dxa"/>
              <w:right w:w="80" w:type="dxa"/>
            </w:tcMar>
          </w:tcPr>
          <w:p w14:paraId="2EC74235" w14:textId="77777777" w:rsidR="00CC35C8" w:rsidRDefault="00000000">
            <w:r>
              <w:rPr>
                <w:color w:val="2C3E50"/>
                <w:sz w:val="17"/>
              </w:rPr>
              <w:t>STA_0004</w:t>
            </w:r>
          </w:p>
        </w:tc>
        <w:tc>
          <w:tcPr>
            <w:tcW w:w="1605" w:type="dxa"/>
            <w:shd w:val="clear" w:color="auto" w:fill="EBF1F8"/>
            <w:tcMar>
              <w:top w:w="40" w:type="dxa"/>
              <w:left w:w="80" w:type="dxa"/>
              <w:bottom w:w="40" w:type="dxa"/>
              <w:right w:w="80" w:type="dxa"/>
            </w:tcMar>
          </w:tcPr>
          <w:p w14:paraId="2D43A8EC"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A-23</w:t>
            </w:r>
          </w:p>
        </w:tc>
        <w:tc>
          <w:tcPr>
            <w:tcW w:w="1605" w:type="dxa"/>
            <w:shd w:val="clear" w:color="auto" w:fill="EBF1F8"/>
            <w:tcMar>
              <w:top w:w="40" w:type="dxa"/>
              <w:left w:w="80" w:type="dxa"/>
              <w:bottom w:w="40" w:type="dxa"/>
              <w:right w:w="80" w:type="dxa"/>
            </w:tcMar>
          </w:tcPr>
          <w:p w14:paraId="17B42C05"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4</w:t>
            </w:r>
          </w:p>
        </w:tc>
        <w:tc>
          <w:tcPr>
            <w:tcW w:w="1605" w:type="dxa"/>
            <w:shd w:val="clear" w:color="auto" w:fill="EBF1F8"/>
            <w:tcMar>
              <w:top w:w="40" w:type="dxa"/>
              <w:left w:w="80" w:type="dxa"/>
              <w:bottom w:w="40" w:type="dxa"/>
              <w:right w:w="80" w:type="dxa"/>
            </w:tcMar>
          </w:tcPr>
          <w:p w14:paraId="76097DD3"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600</w:t>
            </w:r>
          </w:p>
        </w:tc>
        <w:tc>
          <w:tcPr>
            <w:tcW w:w="1605" w:type="dxa"/>
            <w:shd w:val="clear" w:color="auto" w:fill="FADBD8"/>
            <w:tcMar>
              <w:top w:w="40" w:type="dxa"/>
              <w:left w:w="80" w:type="dxa"/>
              <w:bottom w:w="40" w:type="dxa"/>
              <w:right w:w="80" w:type="dxa"/>
            </w:tcMar>
          </w:tcPr>
          <w:p w14:paraId="652D08D4"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b/>
                <w:color w:val="C0392B"/>
                <w:sz w:val="17"/>
              </w:rPr>
              <w:t>Congested</w:t>
            </w:r>
          </w:p>
        </w:tc>
        <w:tc>
          <w:tcPr>
            <w:tcW w:w="1605" w:type="dxa"/>
            <w:shd w:val="clear" w:color="auto" w:fill="FEF9E7"/>
            <w:tcMar>
              <w:top w:w="40" w:type="dxa"/>
              <w:left w:w="80" w:type="dxa"/>
              <w:bottom w:w="40" w:type="dxa"/>
              <w:right w:w="80" w:type="dxa"/>
            </w:tcMar>
          </w:tcPr>
          <w:p w14:paraId="0BB88C8D"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24%</w:t>
            </w:r>
          </w:p>
        </w:tc>
      </w:tr>
      <w:tr w:rsidR="00CC35C8" w14:paraId="219A74AA" w14:textId="77777777" w:rsidTr="00CC3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FFFFFF"/>
            <w:tcMar>
              <w:top w:w="40" w:type="dxa"/>
              <w:left w:w="80" w:type="dxa"/>
              <w:bottom w:w="40" w:type="dxa"/>
              <w:right w:w="80" w:type="dxa"/>
            </w:tcMar>
          </w:tcPr>
          <w:p w14:paraId="66928D83" w14:textId="77777777" w:rsidR="00CC35C8" w:rsidRDefault="00000000">
            <w:r>
              <w:rPr>
                <w:color w:val="2C3E50"/>
                <w:sz w:val="17"/>
              </w:rPr>
              <w:t>STA_0005</w:t>
            </w:r>
          </w:p>
        </w:tc>
        <w:tc>
          <w:tcPr>
            <w:tcW w:w="1605" w:type="dxa"/>
            <w:shd w:val="clear" w:color="auto" w:fill="FFFFFF"/>
            <w:tcMar>
              <w:top w:w="40" w:type="dxa"/>
              <w:left w:w="80" w:type="dxa"/>
              <w:bottom w:w="40" w:type="dxa"/>
              <w:right w:w="80" w:type="dxa"/>
            </w:tcMar>
          </w:tcPr>
          <w:p w14:paraId="1F4BC54A"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N-435</w:t>
            </w:r>
          </w:p>
        </w:tc>
        <w:tc>
          <w:tcPr>
            <w:tcW w:w="1605" w:type="dxa"/>
            <w:shd w:val="clear" w:color="auto" w:fill="FFFFFF"/>
            <w:tcMar>
              <w:top w:w="40" w:type="dxa"/>
              <w:left w:w="80" w:type="dxa"/>
              <w:bottom w:w="40" w:type="dxa"/>
              <w:right w:w="80" w:type="dxa"/>
            </w:tcMar>
          </w:tcPr>
          <w:p w14:paraId="38DC7489"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2</w:t>
            </w:r>
          </w:p>
        </w:tc>
        <w:tc>
          <w:tcPr>
            <w:tcW w:w="1605" w:type="dxa"/>
            <w:shd w:val="clear" w:color="auto" w:fill="FFFFFF"/>
            <w:tcMar>
              <w:top w:w="40" w:type="dxa"/>
              <w:left w:w="80" w:type="dxa"/>
              <w:bottom w:w="40" w:type="dxa"/>
              <w:right w:w="80" w:type="dxa"/>
            </w:tcMar>
          </w:tcPr>
          <w:p w14:paraId="7C6F7EA3"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300</w:t>
            </w:r>
          </w:p>
        </w:tc>
        <w:tc>
          <w:tcPr>
            <w:tcW w:w="1605" w:type="dxa"/>
            <w:shd w:val="clear" w:color="auto" w:fill="FADBD8"/>
            <w:tcMar>
              <w:top w:w="40" w:type="dxa"/>
              <w:left w:w="80" w:type="dxa"/>
              <w:bottom w:w="40" w:type="dxa"/>
              <w:right w:w="80" w:type="dxa"/>
            </w:tcMar>
          </w:tcPr>
          <w:p w14:paraId="5C5A2F5F"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b/>
                <w:color w:val="C0392B"/>
                <w:sz w:val="17"/>
              </w:rPr>
              <w:t>Congested</w:t>
            </w:r>
          </w:p>
        </w:tc>
        <w:tc>
          <w:tcPr>
            <w:tcW w:w="1605" w:type="dxa"/>
            <w:shd w:val="clear" w:color="auto" w:fill="FEF9E7"/>
            <w:tcMar>
              <w:top w:w="40" w:type="dxa"/>
              <w:left w:w="80" w:type="dxa"/>
              <w:bottom w:w="40" w:type="dxa"/>
              <w:right w:w="80" w:type="dxa"/>
            </w:tcMar>
          </w:tcPr>
          <w:p w14:paraId="0AD8289B"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17%</w:t>
            </w:r>
          </w:p>
        </w:tc>
      </w:tr>
      <w:tr w:rsidR="00CC35C8" w14:paraId="7589BC0B" w14:textId="77777777" w:rsidTr="00CC35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EBF1F8"/>
            <w:tcMar>
              <w:top w:w="40" w:type="dxa"/>
              <w:left w:w="80" w:type="dxa"/>
              <w:bottom w:w="40" w:type="dxa"/>
              <w:right w:w="80" w:type="dxa"/>
            </w:tcMar>
          </w:tcPr>
          <w:p w14:paraId="3D7A53A2" w14:textId="77777777" w:rsidR="00CC35C8" w:rsidRDefault="00000000">
            <w:r>
              <w:rPr>
                <w:color w:val="2C3E50"/>
                <w:sz w:val="17"/>
              </w:rPr>
              <w:t>STA_0006</w:t>
            </w:r>
          </w:p>
        </w:tc>
        <w:tc>
          <w:tcPr>
            <w:tcW w:w="1605" w:type="dxa"/>
            <w:shd w:val="clear" w:color="auto" w:fill="EBF1F8"/>
            <w:tcMar>
              <w:top w:w="40" w:type="dxa"/>
              <w:left w:w="80" w:type="dxa"/>
              <w:bottom w:w="40" w:type="dxa"/>
              <w:right w:w="80" w:type="dxa"/>
            </w:tcMar>
          </w:tcPr>
          <w:p w14:paraId="18E73855"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N-621</w:t>
            </w:r>
          </w:p>
        </w:tc>
        <w:tc>
          <w:tcPr>
            <w:tcW w:w="1605" w:type="dxa"/>
            <w:shd w:val="clear" w:color="auto" w:fill="EBF1F8"/>
            <w:tcMar>
              <w:top w:w="40" w:type="dxa"/>
              <w:left w:w="80" w:type="dxa"/>
              <w:bottom w:w="40" w:type="dxa"/>
              <w:right w:w="80" w:type="dxa"/>
            </w:tcMar>
          </w:tcPr>
          <w:p w14:paraId="7968DD7B"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2</w:t>
            </w:r>
          </w:p>
        </w:tc>
        <w:tc>
          <w:tcPr>
            <w:tcW w:w="1605" w:type="dxa"/>
            <w:shd w:val="clear" w:color="auto" w:fill="EBF1F8"/>
            <w:tcMar>
              <w:top w:w="40" w:type="dxa"/>
              <w:left w:w="80" w:type="dxa"/>
              <w:bottom w:w="40" w:type="dxa"/>
              <w:right w:w="80" w:type="dxa"/>
            </w:tcMar>
          </w:tcPr>
          <w:p w14:paraId="4705B843"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300</w:t>
            </w:r>
          </w:p>
        </w:tc>
        <w:tc>
          <w:tcPr>
            <w:tcW w:w="1605" w:type="dxa"/>
            <w:shd w:val="clear" w:color="auto" w:fill="FADBD8"/>
            <w:tcMar>
              <w:top w:w="40" w:type="dxa"/>
              <w:left w:w="80" w:type="dxa"/>
              <w:bottom w:w="40" w:type="dxa"/>
              <w:right w:w="80" w:type="dxa"/>
            </w:tcMar>
          </w:tcPr>
          <w:p w14:paraId="417AB07E"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b/>
                <w:color w:val="C0392B"/>
                <w:sz w:val="17"/>
              </w:rPr>
              <w:t>Congested</w:t>
            </w:r>
          </w:p>
        </w:tc>
        <w:tc>
          <w:tcPr>
            <w:tcW w:w="1605" w:type="dxa"/>
            <w:shd w:val="clear" w:color="auto" w:fill="FDEBD0"/>
            <w:tcMar>
              <w:top w:w="40" w:type="dxa"/>
              <w:left w:w="80" w:type="dxa"/>
              <w:bottom w:w="40" w:type="dxa"/>
              <w:right w:w="80" w:type="dxa"/>
            </w:tcMar>
          </w:tcPr>
          <w:p w14:paraId="1AD1968F"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10%</w:t>
            </w:r>
          </w:p>
        </w:tc>
      </w:tr>
      <w:tr w:rsidR="00CC35C8" w14:paraId="2350ECFA" w14:textId="77777777" w:rsidTr="00CC3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FFFFFF"/>
            <w:tcMar>
              <w:top w:w="40" w:type="dxa"/>
              <w:left w:w="80" w:type="dxa"/>
              <w:bottom w:w="40" w:type="dxa"/>
              <w:right w:w="80" w:type="dxa"/>
            </w:tcMar>
          </w:tcPr>
          <w:p w14:paraId="3FFFF8DE" w14:textId="77777777" w:rsidR="00CC35C8" w:rsidRDefault="00000000">
            <w:r>
              <w:rPr>
                <w:color w:val="2C3E50"/>
                <w:sz w:val="17"/>
              </w:rPr>
              <w:t>STA_0007</w:t>
            </w:r>
          </w:p>
        </w:tc>
        <w:tc>
          <w:tcPr>
            <w:tcW w:w="1605" w:type="dxa"/>
            <w:shd w:val="clear" w:color="auto" w:fill="FFFFFF"/>
            <w:tcMar>
              <w:top w:w="40" w:type="dxa"/>
              <w:left w:w="80" w:type="dxa"/>
              <w:bottom w:w="40" w:type="dxa"/>
              <w:right w:w="80" w:type="dxa"/>
            </w:tcMar>
          </w:tcPr>
          <w:p w14:paraId="59FB34B0"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N-502</w:t>
            </w:r>
          </w:p>
        </w:tc>
        <w:tc>
          <w:tcPr>
            <w:tcW w:w="1605" w:type="dxa"/>
            <w:shd w:val="clear" w:color="auto" w:fill="FFFFFF"/>
            <w:tcMar>
              <w:top w:w="40" w:type="dxa"/>
              <w:left w:w="80" w:type="dxa"/>
              <w:bottom w:w="40" w:type="dxa"/>
              <w:right w:w="80" w:type="dxa"/>
            </w:tcMar>
          </w:tcPr>
          <w:p w14:paraId="15212E30"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2</w:t>
            </w:r>
          </w:p>
        </w:tc>
        <w:tc>
          <w:tcPr>
            <w:tcW w:w="1605" w:type="dxa"/>
            <w:shd w:val="clear" w:color="auto" w:fill="FFFFFF"/>
            <w:tcMar>
              <w:top w:w="40" w:type="dxa"/>
              <w:left w:w="80" w:type="dxa"/>
              <w:bottom w:w="40" w:type="dxa"/>
              <w:right w:w="80" w:type="dxa"/>
            </w:tcMar>
          </w:tcPr>
          <w:p w14:paraId="34F5B0A5"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300</w:t>
            </w:r>
          </w:p>
        </w:tc>
        <w:tc>
          <w:tcPr>
            <w:tcW w:w="1605" w:type="dxa"/>
            <w:shd w:val="clear" w:color="auto" w:fill="FADBD8"/>
            <w:tcMar>
              <w:top w:w="40" w:type="dxa"/>
              <w:left w:w="80" w:type="dxa"/>
              <w:bottom w:w="40" w:type="dxa"/>
              <w:right w:w="80" w:type="dxa"/>
            </w:tcMar>
          </w:tcPr>
          <w:p w14:paraId="50866F2D"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b/>
                <w:color w:val="C0392B"/>
                <w:sz w:val="17"/>
              </w:rPr>
              <w:t>Congested</w:t>
            </w:r>
          </w:p>
        </w:tc>
        <w:tc>
          <w:tcPr>
            <w:tcW w:w="1605" w:type="dxa"/>
            <w:shd w:val="clear" w:color="auto" w:fill="FDEBD0"/>
            <w:tcMar>
              <w:top w:w="40" w:type="dxa"/>
              <w:left w:w="80" w:type="dxa"/>
              <w:bottom w:w="40" w:type="dxa"/>
              <w:right w:w="80" w:type="dxa"/>
            </w:tcMar>
          </w:tcPr>
          <w:p w14:paraId="5063E4E4" w14:textId="77777777" w:rsidR="00CC35C8" w:rsidRDefault="00000000">
            <w:pPr>
              <w:cnfStyle w:val="000000100000" w:firstRow="0" w:lastRow="0" w:firstColumn="0" w:lastColumn="0" w:oddVBand="0" w:evenVBand="0" w:oddHBand="1" w:evenHBand="0" w:firstRowFirstColumn="0" w:firstRowLastColumn="0" w:lastRowFirstColumn="0" w:lastRowLastColumn="0"/>
            </w:pPr>
            <w:r>
              <w:rPr>
                <w:color w:val="2C3E50"/>
                <w:sz w:val="17"/>
              </w:rPr>
              <w:t>8%</w:t>
            </w:r>
          </w:p>
        </w:tc>
      </w:tr>
      <w:tr w:rsidR="00CC35C8" w14:paraId="63D316CC" w14:textId="77777777" w:rsidTr="00CC35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5" w:type="dxa"/>
            <w:shd w:val="clear" w:color="auto" w:fill="EBF1F8"/>
            <w:tcMar>
              <w:top w:w="40" w:type="dxa"/>
              <w:left w:w="80" w:type="dxa"/>
              <w:bottom w:w="40" w:type="dxa"/>
              <w:right w:w="80" w:type="dxa"/>
            </w:tcMar>
          </w:tcPr>
          <w:p w14:paraId="729FE6BE" w14:textId="77777777" w:rsidR="00CC35C8" w:rsidRDefault="00000000">
            <w:r>
              <w:rPr>
                <w:color w:val="2C3E50"/>
                <w:sz w:val="17"/>
              </w:rPr>
              <w:t>STA_0008</w:t>
            </w:r>
          </w:p>
        </w:tc>
        <w:tc>
          <w:tcPr>
            <w:tcW w:w="1605" w:type="dxa"/>
            <w:shd w:val="clear" w:color="auto" w:fill="EBF1F8"/>
            <w:tcMar>
              <w:top w:w="40" w:type="dxa"/>
              <w:left w:w="80" w:type="dxa"/>
              <w:bottom w:w="40" w:type="dxa"/>
              <w:right w:w="80" w:type="dxa"/>
            </w:tcMar>
          </w:tcPr>
          <w:p w14:paraId="7B640281"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AP-9</w:t>
            </w:r>
          </w:p>
        </w:tc>
        <w:tc>
          <w:tcPr>
            <w:tcW w:w="1605" w:type="dxa"/>
            <w:shd w:val="clear" w:color="auto" w:fill="EBF1F8"/>
            <w:tcMar>
              <w:top w:w="40" w:type="dxa"/>
              <w:left w:w="80" w:type="dxa"/>
              <w:bottom w:w="40" w:type="dxa"/>
              <w:right w:w="80" w:type="dxa"/>
            </w:tcMar>
          </w:tcPr>
          <w:p w14:paraId="46C0F5E4"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4</w:t>
            </w:r>
          </w:p>
        </w:tc>
        <w:tc>
          <w:tcPr>
            <w:tcW w:w="1605" w:type="dxa"/>
            <w:shd w:val="clear" w:color="auto" w:fill="EBF1F8"/>
            <w:tcMar>
              <w:top w:w="40" w:type="dxa"/>
              <w:left w:w="80" w:type="dxa"/>
              <w:bottom w:w="40" w:type="dxa"/>
              <w:right w:w="80" w:type="dxa"/>
            </w:tcMar>
          </w:tcPr>
          <w:p w14:paraId="73A5FC60"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600</w:t>
            </w:r>
          </w:p>
        </w:tc>
        <w:tc>
          <w:tcPr>
            <w:tcW w:w="1605" w:type="dxa"/>
            <w:shd w:val="clear" w:color="auto" w:fill="FADBD8"/>
            <w:tcMar>
              <w:top w:w="40" w:type="dxa"/>
              <w:left w:w="80" w:type="dxa"/>
              <w:bottom w:w="40" w:type="dxa"/>
              <w:right w:w="80" w:type="dxa"/>
            </w:tcMar>
          </w:tcPr>
          <w:p w14:paraId="41CFD2D4"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b/>
                <w:color w:val="C0392B"/>
                <w:sz w:val="17"/>
              </w:rPr>
              <w:t>Congested</w:t>
            </w:r>
          </w:p>
        </w:tc>
        <w:tc>
          <w:tcPr>
            <w:tcW w:w="1605" w:type="dxa"/>
            <w:shd w:val="clear" w:color="auto" w:fill="D5F5E3"/>
            <w:tcMar>
              <w:top w:w="40" w:type="dxa"/>
              <w:left w:w="80" w:type="dxa"/>
              <w:bottom w:w="40" w:type="dxa"/>
              <w:right w:w="80" w:type="dxa"/>
            </w:tcMar>
          </w:tcPr>
          <w:p w14:paraId="5CD7F4B1" w14:textId="77777777" w:rsidR="00CC35C8" w:rsidRDefault="00000000">
            <w:pPr>
              <w:cnfStyle w:val="000000010000" w:firstRow="0" w:lastRow="0" w:firstColumn="0" w:lastColumn="0" w:oddVBand="0" w:evenVBand="0" w:oddHBand="0" w:evenHBand="1" w:firstRowFirstColumn="0" w:firstRowLastColumn="0" w:lastRowFirstColumn="0" w:lastRowLastColumn="0"/>
            </w:pPr>
            <w:r>
              <w:rPr>
                <w:color w:val="2C3E50"/>
                <w:sz w:val="17"/>
              </w:rPr>
              <w:t>63%</w:t>
            </w:r>
          </w:p>
        </w:tc>
      </w:tr>
    </w:tbl>
    <w:p w14:paraId="341E6A8D" w14:textId="77777777" w:rsidR="00CC35C8" w:rsidRDefault="00000000">
      <w:r>
        <w:rPr>
          <w:b/>
          <w:sz w:val="17"/>
        </w:rPr>
        <w:t xml:space="preserve">Table 1. </w:t>
      </w:r>
      <w:r>
        <w:rPr>
          <w:sz w:val="17"/>
        </w:rPr>
        <w:t>Proposed stations. Utilization = avg. daily sessions / daily capacity at 22 min/session.</w:t>
      </w:r>
    </w:p>
    <w:p w14:paraId="0DEA5FEB" w14:textId="77777777" w:rsidR="00CC35C8" w:rsidRDefault="00000000">
      <w:pPr>
        <w:pStyle w:val="Heading2"/>
      </w:pPr>
      <w:r>
        <w:t>4.2 Grid Viability</w:t>
      </w:r>
    </w:p>
    <w:p w14:paraId="736E72CA" w14:textId="77777777" w:rsidR="00CC35C8" w:rsidRDefault="00000000">
      <w:r>
        <w:t>This is the most consequential finding. After consolidating the three DSO datasets into 2,147 physical substations, 82% are classified as Congested (below 1 MW available), with most reporting exactly 0 MW. The pattern is consistent across all three independent operators, ruling out a reporting anomaly:</w:t>
      </w:r>
    </w:p>
    <w:p w14:paraId="6F36A6F7" w14:textId="77777777" w:rsidR="00CC35C8" w:rsidRDefault="00000000">
      <w:pPr>
        <w:spacing w:before="80"/>
        <w:jc w:val="center"/>
      </w:pPr>
      <w:r>
        <w:rPr>
          <w:noProof/>
        </w:rPr>
        <w:drawing>
          <wp:inline distT="0" distB="0" distL="0" distR="0" wp14:anchorId="17F5C07A" wp14:editId="49E5D0DA">
            <wp:extent cx="4572000" cy="1548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572000" cy="1548806"/>
                    </a:xfrm>
                    <a:prstGeom prst="rect">
                      <a:avLst/>
                    </a:prstGeom>
                  </pic:spPr>
                </pic:pic>
              </a:graphicData>
            </a:graphic>
          </wp:inline>
        </w:drawing>
      </w:r>
    </w:p>
    <w:p w14:paraId="1EB04E0A" w14:textId="77777777" w:rsidR="00CC35C8" w:rsidRDefault="00000000">
      <w:pPr>
        <w:spacing w:before="0"/>
        <w:jc w:val="center"/>
      </w:pPr>
      <w:r>
        <w:rPr>
          <w:b/>
          <w:sz w:val="17"/>
        </w:rPr>
        <w:t xml:space="preserve">Figure 1. </w:t>
      </w:r>
      <w:r>
        <w:rPr>
          <w:sz w:val="17"/>
        </w:rPr>
        <w:t>Grid capacity by DSO. These are CNMC-regulated publications; the 0 MW readings reflect substations where all access capacity has been reserved by prior applications.</w:t>
      </w:r>
    </w:p>
    <w:p w14:paraId="6CAE964B" w14:textId="77777777" w:rsidR="00CC35C8" w:rsidRDefault="00000000">
      <w:r>
        <w:t>All 8 proposed stations are friction points. Two (N-502 and AP-9) have no substation within 25 km, requiring entirely new grid infrastructure. Closing AFIR gaps is therefore not a charger-placement problem but a grid investment problem.</w:t>
      </w:r>
    </w:p>
    <w:p w14:paraId="00C8B216" w14:textId="77777777" w:rsidR="00CC35C8" w:rsidRDefault="00000000">
      <w:pPr>
        <w:pStyle w:val="Heading1"/>
      </w:pPr>
      <w:r>
        <w:t>5. Strategic Roadmap for Iberdrola</w:t>
      </w:r>
    </w:p>
    <w:p w14:paraId="2E64AC9E" w14:textId="77777777" w:rsidR="00CC35C8" w:rsidRDefault="00000000">
      <w:r>
        <w:t>Because every proposed site is grid-constrained, the deployment strategy must be sequenced by grid reinforcement feasibility, not just by road-level demand. We propose three phases.</w:t>
      </w:r>
    </w:p>
    <w:p w14:paraId="673EECD5" w14:textId="77777777" w:rsidR="00CC35C8" w:rsidRDefault="00000000">
      <w:pPr>
        <w:pStyle w:val="Heading2"/>
      </w:pPr>
      <w:r>
        <w:lastRenderedPageBreak/>
        <w:t>5.1 Phase 1 (2027): TEN-T Priority Corridors</w:t>
      </w:r>
    </w:p>
    <w:p w14:paraId="74109F00" w14:textId="77777777" w:rsidR="00CC35C8" w:rsidRDefault="00000000">
      <w:r>
        <w:t>Three stations should be reinforced first: AP-2 (Barcelona-Zaragoza, 35% utilization), A-23 (Levante-Aragon, 24%), and AP-9 (Galicia, 63% average, 95% summer peak). These address TEN-T corridors with binding AFIR deadlines and the strongest utilization outlook. Combined grid reinforcement need: approximately 1.8 MW across Endesa and Viesgo territories.</w:t>
      </w:r>
    </w:p>
    <w:p w14:paraId="3CB0AFA6" w14:textId="77777777" w:rsidR="00CC35C8" w:rsidRDefault="00000000">
      <w:pPr>
        <w:pStyle w:val="Heading2"/>
      </w:pPr>
      <w:r>
        <w:t>5.2 Phase 2 (2028-2029): Secondary Network and Workarounds</w:t>
      </w:r>
    </w:p>
    <w:p w14:paraId="614F3551" w14:textId="77777777" w:rsidR="00CC35C8" w:rsidRDefault="00000000">
      <w:r>
        <w:t>The remaining five stations (N-322, N-433, N-435, N-621, N-502) serve national roads with lower but growing traffic. Where full grid reinforcement cannot be completed by 2028, interim measures can bridge the gap: deploying battery buffer storage (100-200 kWh packs) at the station to absorb peak load without exceeding substation capacity; starting with 2 chargers instead of 4 to halve grid demand while maintaining AFIR compliance; or scheduling heavy utilization for the 10:00-16:00 solar surplus window through dynamic pricing.</w:t>
      </w:r>
    </w:p>
    <w:p w14:paraId="36BD3F3D" w14:textId="77777777" w:rsidR="00CC35C8" w:rsidRDefault="00000000">
      <w:pPr>
        <w:pStyle w:val="Heading2"/>
      </w:pPr>
      <w:r>
        <w:t>5.3 Phase 3 (2030+): Network Scaling</w:t>
      </w:r>
    </w:p>
    <w:p w14:paraId="152FE6B2" w14:textId="77777777" w:rsidR="00CC35C8" w:rsidRDefault="00000000">
      <w:r>
        <w:t>As EV penetration grows from 5.7% toward 15-20% by 2030 (IEA Stated Policies), station utilization will rise and new gaps may emerge on routes currently below threshold. Phase 1 and 2 stations should be civil-engineered for expansion (conduit for 8 chargers even if only 4 are installed initially). This "build for now, ready for growth" approach minimizes 2027 capital while avoiding expensive retrofits in 2030.</w:t>
      </w:r>
    </w:p>
    <w:p w14:paraId="69B204D7" w14:textId="77777777" w:rsidR="00CC35C8" w:rsidRDefault="00000000">
      <w:pPr>
        <w:pStyle w:val="Heading2"/>
      </w:pPr>
      <w:r>
        <w:t>5.4 Business Value for Iberdrola</w:t>
      </w:r>
    </w:p>
    <w:p w14:paraId="6D70A590" w14:textId="77777777" w:rsidR="00CC35C8" w:rsidRDefault="00000000">
      <w:r>
        <w:t>At 80,000 to 130,000 euros per installed 150 kW charger (Iberdrola/BP Pulse benchmarks; BloombergNEF 2024), the 26-charger network costs 2.1 to 3.4 million euros in hardware. By DSO territory, Endesa covers 5 of the 8 friction points (2.4 MW demand), Viesgo covers 2 (0.9 MW), and i-DE covers 1 (0.6 MW). Iberdrola holds a dual advantage: as a DSO (through i-DE) it can fast-track grid reinforcement on its own network at the N-322 site, and as a Charge Point Operator it can deploy chargers across Endesa and Viesgo territories where it controls the customer relationship without needing to own the grid. This positions Iberdrola to capture early-mover share on routes where competitors face the same grid bottleneck but lack the integrated DSO/CPO capability to resolve it. With highway charger utilization projected at 5-15% in 2027 and growing to 20-35% by 2030 (IEA), early deployment on high-traffic corridors like AP-2 and AP-9 builds brand presence and customer loyalty ahead of the volume inflection point.</w:t>
      </w:r>
    </w:p>
    <w:p w14:paraId="158C7003" w14:textId="77777777" w:rsidR="00CC35C8" w:rsidRDefault="00000000">
      <w:pPr>
        <w:pStyle w:val="Heading1"/>
      </w:pPr>
      <w:r>
        <w:t>6. Limitations</w:t>
      </w:r>
    </w:p>
    <w:p w14:paraId="47B1EFBE" w14:textId="77777777" w:rsidR="00CC35C8" w:rsidRDefault="00000000">
      <w:pPr>
        <w:pStyle w:val="ListBullet"/>
      </w:pPr>
      <w:r>
        <w:rPr>
          <w:b/>
          <w:sz w:val="20"/>
        </w:rPr>
        <w:t>Grid data is a point-in-time snapshot (early 2026).</w:t>
      </w:r>
      <w:r>
        <w:rPr>
          <w:sz w:val="20"/>
        </w:rPr>
        <w:t xml:space="preserve"> Capacity may shift as reservations expire or reinforcements complete. Site-specific checks should precede capital commitments.</w:t>
      </w:r>
    </w:p>
    <w:p w14:paraId="10471EE6" w14:textId="77777777" w:rsidR="00CC35C8" w:rsidRDefault="00000000">
      <w:pPr>
        <w:pStyle w:val="ListBullet"/>
      </w:pPr>
      <w:r>
        <w:rPr>
          <w:b/>
          <w:sz w:val="20"/>
        </w:rPr>
        <w:t>EV penetration is applied nationally at 5.7%.</w:t>
      </w:r>
      <w:r>
        <w:rPr>
          <w:sz w:val="20"/>
        </w:rPr>
        <w:t xml:space="preserve"> Province-level adjustment would sharpen sizing on corridors linking high-adoption regions like Madrid and Barcelona.</w:t>
      </w:r>
    </w:p>
    <w:p w14:paraId="13790CFD" w14:textId="77777777" w:rsidR="00CC35C8" w:rsidRDefault="00000000">
      <w:pPr>
        <w:pStyle w:val="ListBullet"/>
      </w:pPr>
      <w:r>
        <w:rPr>
          <w:b/>
          <w:sz w:val="20"/>
        </w:rPr>
        <w:t>The SARIMA fleet projection (2,498,159 EVs) assumes sustained growth.</w:t>
      </w:r>
      <w:r>
        <w:rPr>
          <w:sz w:val="20"/>
        </w:rPr>
        <w:t xml:space="preserve"> Policy or economic shifts could alter this trajectory, though AFIR spacing rules are legally binding regardless of fleet size.</w:t>
      </w:r>
    </w:p>
    <w:p w14:paraId="25F3F890" w14:textId="77777777" w:rsidR="00CC35C8" w:rsidRDefault="00000000">
      <w:pPr>
        <w:pStyle w:val="ListBullet"/>
      </w:pPr>
      <w:r>
        <w:rPr>
          <w:b/>
          <w:sz w:val="20"/>
        </w:rPr>
        <w:t>Range-extended EVs (currently &lt;1% European market share per Benchmark Mineral Intelligence) are not modeled separately.</w:t>
      </w:r>
      <w:r>
        <w:rPr>
          <w:sz w:val="20"/>
        </w:rPr>
        <w:t xml:space="preserve"> If adopted at scale by 2030, they would reduce per-trip highway charging demand.</w:t>
      </w:r>
    </w:p>
    <w:p w14:paraId="1B937E10" w14:textId="77777777" w:rsidR="00CC35C8" w:rsidRDefault="00000000">
      <w:pPr>
        <w:pStyle w:val="Heading1"/>
      </w:pPr>
      <w:r>
        <w:t>7. Conclusion</w:t>
      </w:r>
    </w:p>
    <w:p w14:paraId="0457E5D0" w14:textId="77777777" w:rsidR="00CC35C8" w:rsidRDefault="00000000">
      <w:r>
        <w:t xml:space="preserve">Spain can close its interurban AFIR gaps with 8 stations and 26 chargers, building on the 3,246 fast chargers already in place. The solution is efficient: only targeted gap-filling is required, not a wholesale network build-out. But the grid tells a harder story. With 82% of the country's substations at zero available capacity, every proposed </w:t>
      </w:r>
      <w:r>
        <w:lastRenderedPageBreak/>
        <w:t>site needs reinforcement before a single charger can be energized. For Iberdrola, this is both the central obstacle and the clearest commercial opportunity. As DSO and CPO, Iberdrola can coordinate both sides of the problem in a way that pure-play charging operators cannot. The phased roadmap above provides a prioritized, evidence-based starting point, beginning where regulatory deadlines are tightest and utilization prospects are strongest.</w:t>
      </w:r>
    </w:p>
    <w:p w14:paraId="3B18004E" w14:textId="77777777" w:rsidR="00CC35C8" w:rsidRDefault="00000000">
      <w:pPr>
        <w:pStyle w:val="Heading1"/>
      </w:pPr>
      <w:r>
        <w:t>References</w:t>
      </w:r>
    </w:p>
    <w:p w14:paraId="22D07C77" w14:textId="77777777" w:rsidR="00CC35C8" w:rsidRDefault="00000000">
      <w:pPr>
        <w:pStyle w:val="ListBullet"/>
        <w:spacing w:after="20"/>
      </w:pPr>
      <w:r>
        <w:rPr>
          <w:sz w:val="17"/>
        </w:rPr>
        <w:t>AFIR Regulation 2023/1804. European Parliament and Council. EUR-Lex.</w:t>
      </w:r>
    </w:p>
    <w:p w14:paraId="3343A9B0" w14:textId="77777777" w:rsidR="00CC35C8" w:rsidRDefault="00000000">
      <w:pPr>
        <w:pStyle w:val="ListBullet"/>
        <w:spacing w:after="20"/>
      </w:pPr>
      <w:r>
        <w:rPr>
          <w:sz w:val="17"/>
        </w:rPr>
        <w:t>IEA (2025). Global EV Outlook 2025. International Energy Agency.</w:t>
      </w:r>
    </w:p>
    <w:p w14:paraId="45D19137" w14:textId="77777777" w:rsidR="00CC35C8" w:rsidRDefault="00000000">
      <w:pPr>
        <w:pStyle w:val="ListBullet"/>
        <w:spacing w:after="20"/>
      </w:pPr>
      <w:r>
        <w:rPr>
          <w:sz w:val="17"/>
        </w:rPr>
        <w:t>ICCT (2024). Real-world BEV range in Europe.</w:t>
      </w:r>
    </w:p>
    <w:p w14:paraId="13BCC160" w14:textId="77777777" w:rsidR="00CC35C8" w:rsidRDefault="00000000">
      <w:pPr>
        <w:pStyle w:val="ListBullet"/>
        <w:spacing w:after="20"/>
      </w:pPr>
      <w:r>
        <w:rPr>
          <w:sz w:val="17"/>
        </w:rPr>
        <w:t>Wu, Y. et al. (2024). Drivetrain energy consumption for EV highway scenarios.</w:t>
      </w:r>
    </w:p>
    <w:p w14:paraId="4B5343E9" w14:textId="77777777" w:rsidR="00CC35C8" w:rsidRPr="00E261B4" w:rsidRDefault="00000000">
      <w:pPr>
        <w:pStyle w:val="ListBullet"/>
        <w:spacing w:after="20"/>
        <w:rPr>
          <w:lang w:val="es-ES"/>
        </w:rPr>
      </w:pPr>
      <w:r w:rsidRPr="00E261B4">
        <w:rPr>
          <w:sz w:val="17"/>
          <w:lang w:val="es-ES"/>
        </w:rPr>
        <w:t xml:space="preserve">DGT (2025). </w:t>
      </w:r>
      <w:proofErr w:type="spellStart"/>
      <w:r w:rsidRPr="00E261B4">
        <w:rPr>
          <w:sz w:val="17"/>
          <w:lang w:val="es-ES"/>
        </w:rPr>
        <w:t>Estadisticas</w:t>
      </w:r>
      <w:proofErr w:type="spellEnd"/>
      <w:r w:rsidRPr="00E261B4">
        <w:rPr>
          <w:sz w:val="17"/>
          <w:lang w:val="es-ES"/>
        </w:rPr>
        <w:t xml:space="preserve"> del Parque de </w:t>
      </w:r>
      <w:proofErr w:type="spellStart"/>
      <w:r w:rsidRPr="00E261B4">
        <w:rPr>
          <w:sz w:val="17"/>
          <w:lang w:val="es-ES"/>
        </w:rPr>
        <w:t>Vehiculos</w:t>
      </w:r>
      <w:proofErr w:type="spellEnd"/>
      <w:r w:rsidRPr="00E261B4">
        <w:rPr>
          <w:sz w:val="17"/>
          <w:lang w:val="es-ES"/>
        </w:rPr>
        <w:t xml:space="preserve">; </w:t>
      </w:r>
      <w:proofErr w:type="spellStart"/>
      <w:r w:rsidRPr="00E261B4">
        <w:rPr>
          <w:sz w:val="17"/>
          <w:lang w:val="es-ES"/>
        </w:rPr>
        <w:t>National</w:t>
      </w:r>
      <w:proofErr w:type="spellEnd"/>
      <w:r w:rsidRPr="00E261B4">
        <w:rPr>
          <w:sz w:val="17"/>
          <w:lang w:val="es-ES"/>
        </w:rPr>
        <w:t xml:space="preserve"> Access Point (NAP) </w:t>
      </w:r>
      <w:proofErr w:type="spellStart"/>
      <w:r w:rsidRPr="00E261B4">
        <w:rPr>
          <w:sz w:val="17"/>
          <w:lang w:val="es-ES"/>
        </w:rPr>
        <w:t>charger</w:t>
      </w:r>
      <w:proofErr w:type="spellEnd"/>
      <w:r w:rsidRPr="00E261B4">
        <w:rPr>
          <w:sz w:val="17"/>
          <w:lang w:val="es-ES"/>
        </w:rPr>
        <w:t xml:space="preserve"> </w:t>
      </w:r>
      <w:proofErr w:type="spellStart"/>
      <w:r w:rsidRPr="00E261B4">
        <w:rPr>
          <w:sz w:val="17"/>
          <w:lang w:val="es-ES"/>
        </w:rPr>
        <w:t>registry</w:t>
      </w:r>
      <w:proofErr w:type="spellEnd"/>
      <w:r w:rsidRPr="00E261B4">
        <w:rPr>
          <w:sz w:val="17"/>
          <w:lang w:val="es-ES"/>
        </w:rPr>
        <w:t>.</w:t>
      </w:r>
    </w:p>
    <w:p w14:paraId="546118C9" w14:textId="77777777" w:rsidR="00CC35C8" w:rsidRDefault="00000000">
      <w:pPr>
        <w:pStyle w:val="ListBullet"/>
        <w:spacing w:after="20"/>
      </w:pPr>
      <w:r>
        <w:rPr>
          <w:sz w:val="17"/>
        </w:rPr>
        <w:t>INE (2025). Hotel occupancy and traveler statistics by province.</w:t>
      </w:r>
    </w:p>
    <w:p w14:paraId="2C00BA60" w14:textId="77777777" w:rsidR="00CC35C8" w:rsidRDefault="00000000">
      <w:pPr>
        <w:pStyle w:val="ListBullet"/>
        <w:spacing w:after="20"/>
      </w:pPr>
      <w:r>
        <w:rPr>
          <w:sz w:val="17"/>
        </w:rPr>
        <w:t>ANFAC (2026). Monthly vehicle registration statistics, Spain.</w:t>
      </w:r>
    </w:p>
    <w:p w14:paraId="32FAC92C" w14:textId="77777777" w:rsidR="00CC35C8" w:rsidRDefault="00000000">
      <w:pPr>
        <w:pStyle w:val="ListBullet"/>
        <w:spacing w:after="20"/>
      </w:pPr>
      <w:r>
        <w:rPr>
          <w:sz w:val="17"/>
        </w:rPr>
        <w:t>REE (2024). Installed generation capacity; hourly demand profiles. Red Electrica de Espana.</w:t>
      </w:r>
    </w:p>
    <w:p w14:paraId="5A045DB9" w14:textId="77777777" w:rsidR="00CC35C8" w:rsidRDefault="00000000">
      <w:pPr>
        <w:pStyle w:val="ListBullet"/>
        <w:spacing w:after="20"/>
      </w:pPr>
      <w:r>
        <w:rPr>
          <w:sz w:val="17"/>
        </w:rPr>
        <w:t>CNMC. Medium-voltage grid connection standards. IDAE. EV infrastructure planning guidelines.</w:t>
      </w:r>
    </w:p>
    <w:p w14:paraId="748C59A5" w14:textId="77777777" w:rsidR="00CC35C8" w:rsidRDefault="00000000">
      <w:pPr>
        <w:pStyle w:val="ListBullet"/>
        <w:spacing w:after="20"/>
      </w:pPr>
      <w:r>
        <w:rPr>
          <w:sz w:val="17"/>
        </w:rPr>
        <w:t>BloombergNEF (2024). EV Infrastructure Cost Report.</w:t>
      </w:r>
    </w:p>
    <w:p w14:paraId="47580E2B" w14:textId="77777777" w:rsidR="00CC35C8" w:rsidRDefault="00000000">
      <w:pPr>
        <w:pStyle w:val="ListBullet"/>
        <w:spacing w:after="20"/>
      </w:pPr>
      <w:r>
        <w:rPr>
          <w:sz w:val="17"/>
        </w:rPr>
        <w:t>Iberdrola/BP Pulse (2024). Ultra-fast charging deployment, Spain and Portugal.</w:t>
      </w:r>
    </w:p>
    <w:p w14:paraId="182471CC" w14:textId="77777777" w:rsidR="00CC35C8" w:rsidRDefault="00000000">
      <w:pPr>
        <w:pStyle w:val="ListBullet"/>
        <w:spacing w:after="20"/>
      </w:pPr>
      <w:r>
        <w:rPr>
          <w:sz w:val="17"/>
        </w:rPr>
        <w:t xml:space="preserve">i-DE (2026). Consumption capacity map. </w:t>
      </w:r>
      <w:r w:rsidRPr="00E261B4">
        <w:rPr>
          <w:sz w:val="17"/>
          <w:lang w:val="es-ES"/>
        </w:rPr>
        <w:t xml:space="preserve">Endesa (2026). Access </w:t>
      </w:r>
      <w:proofErr w:type="spellStart"/>
      <w:r w:rsidRPr="00E261B4">
        <w:rPr>
          <w:sz w:val="17"/>
          <w:lang w:val="es-ES"/>
        </w:rPr>
        <w:t>capacity</w:t>
      </w:r>
      <w:proofErr w:type="spellEnd"/>
      <w:r w:rsidRPr="00E261B4">
        <w:rPr>
          <w:sz w:val="17"/>
          <w:lang w:val="es-ES"/>
        </w:rPr>
        <w:t xml:space="preserve"> docs. Viesgo (2026). </w:t>
      </w:r>
      <w:r>
        <w:rPr>
          <w:sz w:val="17"/>
        </w:rPr>
        <w:t>Grid map.</w:t>
      </w:r>
    </w:p>
    <w:p w14:paraId="492E6159" w14:textId="77777777" w:rsidR="00CC35C8" w:rsidRDefault="00000000">
      <w:pPr>
        <w:pStyle w:val="ListBullet"/>
        <w:spacing w:after="20"/>
      </w:pPr>
      <w:r>
        <w:rPr>
          <w:sz w:val="17"/>
        </w:rPr>
        <w:t>Ministry of Transport (2026). Hermes road and traffic portal.</w:t>
      </w:r>
    </w:p>
    <w:p w14:paraId="13595CB1" w14:textId="77777777" w:rsidR="00CC35C8" w:rsidRDefault="00000000">
      <w:pPr>
        <w:pStyle w:val="ListBullet"/>
        <w:spacing w:after="20"/>
      </w:pPr>
      <w:r>
        <w:rPr>
          <w:sz w:val="17"/>
        </w:rPr>
        <w:t>datos.gob.es (2026). Route to electrification: GitHub repository fork (mandatory Exercise 3).</w:t>
      </w:r>
    </w:p>
    <w:p w14:paraId="66459F1B" w14:textId="77777777" w:rsidR="00CC35C8" w:rsidRDefault="00000000">
      <w:pPr>
        <w:pStyle w:val="ListBullet"/>
        <w:spacing w:after="20"/>
      </w:pPr>
      <w:r>
        <w:rPr>
          <w:sz w:val="17"/>
        </w:rPr>
        <w:t>Benchmark Mineral Intelligence (2025). Range-extended EV market analysis.</w:t>
      </w:r>
    </w:p>
    <w:sectPr w:rsidR="00CC35C8"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77717">
    <w:abstractNumId w:val="8"/>
  </w:num>
  <w:num w:numId="2" w16cid:durableId="1964800154">
    <w:abstractNumId w:val="6"/>
  </w:num>
  <w:num w:numId="3" w16cid:durableId="947274068">
    <w:abstractNumId w:val="5"/>
  </w:num>
  <w:num w:numId="4" w16cid:durableId="1047146689">
    <w:abstractNumId w:val="4"/>
  </w:num>
  <w:num w:numId="5" w16cid:durableId="969554193">
    <w:abstractNumId w:val="7"/>
  </w:num>
  <w:num w:numId="6" w16cid:durableId="1193154232">
    <w:abstractNumId w:val="3"/>
  </w:num>
  <w:num w:numId="7" w16cid:durableId="239683829">
    <w:abstractNumId w:val="2"/>
  </w:num>
  <w:num w:numId="8" w16cid:durableId="66733110">
    <w:abstractNumId w:val="1"/>
  </w:num>
  <w:num w:numId="9" w16cid:durableId="100774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020"/>
    <w:rsid w:val="0029639D"/>
    <w:rsid w:val="00326F90"/>
    <w:rsid w:val="004955B8"/>
    <w:rsid w:val="006A0CA3"/>
    <w:rsid w:val="00AA1D8D"/>
    <w:rsid w:val="00AB5699"/>
    <w:rsid w:val="00B47730"/>
    <w:rsid w:val="00CB0664"/>
    <w:rsid w:val="00CC35C8"/>
    <w:rsid w:val="00E261B4"/>
    <w:rsid w:val="00ED2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E1AEF"/>
  <w14:defaultImageDpi w14:val="300"/>
  <w15:docId w15:val="{21F117A1-00E1-4B45-84C4-F8CDC980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0"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336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Sebastian Schneider Vaquero</cp:lastModifiedBy>
  <cp:revision>5</cp:revision>
  <dcterms:created xsi:type="dcterms:W3CDTF">2013-12-23T23:15:00Z</dcterms:created>
  <dcterms:modified xsi:type="dcterms:W3CDTF">2026-04-13T20:07:00Z</dcterms:modified>
  <cp:category/>
</cp:coreProperties>
</file>